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oKlavuzu"/>
        <w:tblW w:w="15880" w:type="dxa"/>
        <w:tblInd w:w="-998" w:type="dxa"/>
        <w:tblLayout w:type="fixed"/>
        <w:tblLook w:val="04A0" w:firstRow="1" w:lastRow="0" w:firstColumn="1" w:lastColumn="0" w:noHBand="0" w:noVBand="1"/>
      </w:tblPr>
      <w:tblGrid>
        <w:gridCol w:w="993"/>
        <w:gridCol w:w="1963"/>
        <w:gridCol w:w="4278"/>
        <w:gridCol w:w="708"/>
        <w:gridCol w:w="2268"/>
        <w:gridCol w:w="4961"/>
        <w:gridCol w:w="709"/>
      </w:tblGrid>
      <w:tr w:rsidR="00B47B7A" w:rsidRPr="007843E6" w14:paraId="75F63BDD" w14:textId="77777777" w:rsidTr="00C70740">
        <w:trPr>
          <w:trHeight w:val="552"/>
        </w:trPr>
        <w:tc>
          <w:tcPr>
            <w:tcW w:w="993" w:type="dxa"/>
            <w:vMerge w:val="restart"/>
            <w:tcBorders>
              <w:top w:val="single" w:sz="12" w:space="0" w:color="auto"/>
              <w:left w:val="single" w:sz="12" w:space="0" w:color="auto"/>
            </w:tcBorders>
            <w:shd w:val="clear" w:color="auto" w:fill="9CC2E5" w:themeFill="accent5" w:themeFillTint="99"/>
            <w:textDirection w:val="btLr"/>
            <w:vAlign w:val="center"/>
          </w:tcPr>
          <w:p w14:paraId="34D7C4C5"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A.1. </w:t>
            </w:r>
          </w:p>
          <w:p w14:paraId="058BD59B" w14:textId="559E4C08"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Misyon ve Stratejik Amaçlar</w:t>
            </w:r>
          </w:p>
        </w:tc>
        <w:tc>
          <w:tcPr>
            <w:tcW w:w="6949" w:type="dxa"/>
            <w:gridSpan w:val="3"/>
            <w:tcBorders>
              <w:top w:val="single" w:sz="12" w:space="0" w:color="auto"/>
            </w:tcBorders>
            <w:shd w:val="clear" w:color="auto" w:fill="2E74B5" w:themeFill="accent5" w:themeFillShade="BF"/>
            <w:vAlign w:val="center"/>
          </w:tcPr>
          <w:p w14:paraId="565F4BD4" w14:textId="258AB1BA"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2019</w:t>
            </w:r>
          </w:p>
        </w:tc>
        <w:tc>
          <w:tcPr>
            <w:tcW w:w="7938" w:type="dxa"/>
            <w:gridSpan w:val="3"/>
            <w:tcBorders>
              <w:top w:val="single" w:sz="12" w:space="0" w:color="auto"/>
              <w:right w:val="single" w:sz="12" w:space="0" w:color="auto"/>
            </w:tcBorders>
            <w:shd w:val="clear" w:color="auto" w:fill="2F5496" w:themeFill="accent1" w:themeFillShade="BF"/>
            <w:vAlign w:val="center"/>
          </w:tcPr>
          <w:p w14:paraId="3DD38085" w14:textId="6ABF26EB"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2020</w:t>
            </w:r>
          </w:p>
        </w:tc>
      </w:tr>
      <w:tr w:rsidR="00B47B7A" w:rsidRPr="007843E6" w14:paraId="2FEE953D" w14:textId="77777777" w:rsidTr="00C70740">
        <w:trPr>
          <w:trHeight w:val="560"/>
        </w:trPr>
        <w:tc>
          <w:tcPr>
            <w:tcW w:w="993" w:type="dxa"/>
            <w:vMerge/>
            <w:tcBorders>
              <w:left w:val="single" w:sz="12" w:space="0" w:color="auto"/>
            </w:tcBorders>
            <w:shd w:val="clear" w:color="auto" w:fill="9CC2E5" w:themeFill="accent5" w:themeFillTint="99"/>
            <w:textDirection w:val="btLr"/>
            <w:vAlign w:val="center"/>
          </w:tcPr>
          <w:p w14:paraId="6F2F7A73"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p>
        </w:tc>
        <w:tc>
          <w:tcPr>
            <w:tcW w:w="1963" w:type="dxa"/>
            <w:shd w:val="clear" w:color="auto" w:fill="2E74B5" w:themeFill="accent5" w:themeFillShade="BF"/>
            <w:vAlign w:val="center"/>
          </w:tcPr>
          <w:p w14:paraId="0B798AE9" w14:textId="7A986BF5"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Alt Ölçüt</w:t>
            </w:r>
          </w:p>
        </w:tc>
        <w:tc>
          <w:tcPr>
            <w:tcW w:w="4278" w:type="dxa"/>
            <w:shd w:val="clear" w:color="auto" w:fill="2E74B5" w:themeFill="accent5" w:themeFillShade="BF"/>
            <w:vAlign w:val="center"/>
          </w:tcPr>
          <w:p w14:paraId="50D2CD4F" w14:textId="00E1720A"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Olgunluk Düzeyi</w:t>
            </w:r>
          </w:p>
        </w:tc>
        <w:tc>
          <w:tcPr>
            <w:tcW w:w="708" w:type="dxa"/>
            <w:shd w:val="clear" w:color="auto" w:fill="2E74B5" w:themeFill="accent5" w:themeFillShade="BF"/>
            <w:vAlign w:val="center"/>
          </w:tcPr>
          <w:p w14:paraId="421B202C" w14:textId="44728173"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P</w:t>
            </w:r>
          </w:p>
        </w:tc>
        <w:tc>
          <w:tcPr>
            <w:tcW w:w="2268" w:type="dxa"/>
            <w:shd w:val="clear" w:color="auto" w:fill="2F5496" w:themeFill="accent1" w:themeFillShade="BF"/>
            <w:vAlign w:val="center"/>
          </w:tcPr>
          <w:p w14:paraId="25AE14F9" w14:textId="42F57A46"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Alt Ölçüt</w:t>
            </w:r>
          </w:p>
        </w:tc>
        <w:tc>
          <w:tcPr>
            <w:tcW w:w="4961" w:type="dxa"/>
            <w:shd w:val="clear" w:color="auto" w:fill="2F5496" w:themeFill="accent1" w:themeFillShade="BF"/>
            <w:vAlign w:val="center"/>
          </w:tcPr>
          <w:p w14:paraId="226757E5" w14:textId="5E60B52E"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Olgunluk Düzeyi</w:t>
            </w:r>
          </w:p>
        </w:tc>
        <w:tc>
          <w:tcPr>
            <w:tcW w:w="709" w:type="dxa"/>
            <w:tcBorders>
              <w:right w:val="single" w:sz="12" w:space="0" w:color="auto"/>
            </w:tcBorders>
            <w:shd w:val="clear" w:color="auto" w:fill="2F5496" w:themeFill="accent1" w:themeFillShade="BF"/>
            <w:vAlign w:val="center"/>
          </w:tcPr>
          <w:p w14:paraId="71A3B1F2" w14:textId="3F13992D" w:rsidR="00B47B7A" w:rsidRPr="00C70740" w:rsidRDefault="00B47B7A" w:rsidP="00B47B7A">
            <w:pPr>
              <w:jc w:val="center"/>
              <w:rPr>
                <w:rFonts w:ascii="Times New Roman" w:hAnsi="Times New Roman" w:cs="Times New Roman"/>
                <w:b/>
                <w:bCs/>
                <w:color w:val="FFFFFF" w:themeColor="background1"/>
                <w:sz w:val="24"/>
                <w:szCs w:val="24"/>
              </w:rPr>
            </w:pPr>
            <w:r w:rsidRPr="00C70740">
              <w:rPr>
                <w:rFonts w:ascii="Times New Roman" w:hAnsi="Times New Roman" w:cs="Times New Roman"/>
                <w:b/>
                <w:bCs/>
                <w:color w:val="FFFFFF" w:themeColor="background1"/>
                <w:sz w:val="24"/>
                <w:szCs w:val="24"/>
              </w:rPr>
              <w:t>P</w:t>
            </w:r>
          </w:p>
        </w:tc>
      </w:tr>
      <w:tr w:rsidR="00B47B7A" w:rsidRPr="007843E6" w14:paraId="3C2E967D" w14:textId="77777777" w:rsidTr="00C70740">
        <w:trPr>
          <w:trHeight w:val="1395"/>
        </w:trPr>
        <w:tc>
          <w:tcPr>
            <w:tcW w:w="993" w:type="dxa"/>
            <w:vMerge/>
            <w:tcBorders>
              <w:left w:val="single" w:sz="12" w:space="0" w:color="auto"/>
            </w:tcBorders>
            <w:shd w:val="clear" w:color="auto" w:fill="9CC2E5" w:themeFill="accent5" w:themeFillTint="99"/>
            <w:textDirection w:val="btLr"/>
            <w:vAlign w:val="center"/>
          </w:tcPr>
          <w:p w14:paraId="73CA71F4"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p>
        </w:tc>
        <w:tc>
          <w:tcPr>
            <w:tcW w:w="1963" w:type="dxa"/>
            <w:shd w:val="clear" w:color="auto" w:fill="DEEAF6" w:themeFill="accent5" w:themeFillTint="33"/>
            <w:vAlign w:val="center"/>
          </w:tcPr>
          <w:p w14:paraId="50E9AE89" w14:textId="77777777" w:rsidR="00B47B7A" w:rsidRPr="007843E6" w:rsidRDefault="00B47B7A" w:rsidP="00B47B7A">
            <w:pPr>
              <w:rPr>
                <w:rFonts w:ascii="Times New Roman" w:hAnsi="Times New Roman" w:cs="Times New Roman"/>
                <w:b/>
                <w:bCs/>
                <w:sz w:val="18"/>
                <w:szCs w:val="18"/>
              </w:rPr>
            </w:pPr>
            <w:r w:rsidRPr="007843E6">
              <w:rPr>
                <w:rFonts w:ascii="Times New Roman" w:hAnsi="Times New Roman" w:cs="Times New Roman"/>
                <w:b/>
                <w:bCs/>
                <w:sz w:val="18"/>
                <w:szCs w:val="18"/>
              </w:rPr>
              <w:t xml:space="preserve">A.1.1. </w:t>
            </w:r>
          </w:p>
          <w:p w14:paraId="388299A6" w14:textId="2FD9B009" w:rsidR="00B47B7A" w:rsidRPr="007843E6" w:rsidRDefault="00B47B7A" w:rsidP="00B47B7A">
            <w:pPr>
              <w:rPr>
                <w:rFonts w:ascii="Times New Roman" w:hAnsi="Times New Roman" w:cs="Times New Roman"/>
                <w:b/>
                <w:bCs/>
                <w:sz w:val="18"/>
                <w:szCs w:val="18"/>
              </w:rPr>
            </w:pPr>
            <w:r w:rsidRPr="007843E6">
              <w:rPr>
                <w:rFonts w:ascii="Times New Roman" w:hAnsi="Times New Roman" w:cs="Times New Roman"/>
                <w:sz w:val="18"/>
                <w:szCs w:val="18"/>
              </w:rPr>
              <w:t>Misyon, vizyon, stratejik amaç ve hedefler</w:t>
            </w:r>
          </w:p>
        </w:tc>
        <w:tc>
          <w:tcPr>
            <w:tcW w:w="4278" w:type="dxa"/>
            <w:shd w:val="clear" w:color="auto" w:fill="DEEAF6" w:themeFill="accent5" w:themeFillTint="33"/>
            <w:vAlign w:val="center"/>
          </w:tcPr>
          <w:p w14:paraId="054D4076" w14:textId="4D43232F"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Stratejik plan kapsamında stratejik amaçlar ve hedefler doğrultusundaki tüm birimleri ve alanları kapsayan uygulamalar sistematik olarak ve kurumun iç kalite güvencesi sistemi ile uyumlu olarak izlenmekte ve paydaşlarla birlikte değerlendirilerek önlemler alınmaktadır.</w:t>
            </w:r>
          </w:p>
        </w:tc>
        <w:tc>
          <w:tcPr>
            <w:tcW w:w="708" w:type="dxa"/>
            <w:shd w:val="clear" w:color="auto" w:fill="DEEAF6" w:themeFill="accent5" w:themeFillTint="33"/>
            <w:vAlign w:val="center"/>
          </w:tcPr>
          <w:p w14:paraId="7FAEA975" w14:textId="23A99AB7"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BDD6EE" w:themeFill="accent5" w:themeFillTint="66"/>
            <w:vAlign w:val="center"/>
          </w:tcPr>
          <w:p w14:paraId="53493F52" w14:textId="77777777" w:rsidR="009A2BAD" w:rsidRPr="009A2BAD" w:rsidRDefault="009A2BAD" w:rsidP="009A2BAD">
            <w:pPr>
              <w:jc w:val="both"/>
              <w:rPr>
                <w:rFonts w:ascii="Times New Roman" w:hAnsi="Times New Roman" w:cs="Times New Roman"/>
                <w:b/>
                <w:bCs/>
                <w:sz w:val="20"/>
                <w:szCs w:val="20"/>
              </w:rPr>
            </w:pPr>
            <w:r w:rsidRPr="009A2BAD">
              <w:rPr>
                <w:rFonts w:ascii="Times New Roman" w:hAnsi="Times New Roman" w:cs="Times New Roman"/>
                <w:b/>
                <w:bCs/>
                <w:sz w:val="20"/>
                <w:szCs w:val="20"/>
              </w:rPr>
              <w:t xml:space="preserve">A.1.1. </w:t>
            </w:r>
          </w:p>
          <w:p w14:paraId="6AA7EF5A" w14:textId="3C0F1F48" w:rsidR="00B47B7A" w:rsidRPr="00B82F82" w:rsidRDefault="009A2BAD" w:rsidP="009A2BAD">
            <w:pPr>
              <w:rPr>
                <w:rFonts w:ascii="Times New Roman" w:hAnsi="Times New Roman" w:cs="Times New Roman"/>
                <w:sz w:val="20"/>
                <w:szCs w:val="20"/>
              </w:rPr>
            </w:pPr>
            <w:r w:rsidRPr="00B82F82">
              <w:rPr>
                <w:rFonts w:ascii="Times New Roman" w:hAnsi="Times New Roman" w:cs="Times New Roman"/>
                <w:sz w:val="20"/>
                <w:szCs w:val="20"/>
              </w:rPr>
              <w:t>Misyon, vizyon, stratejik amaç ve hedefler</w:t>
            </w:r>
          </w:p>
        </w:tc>
        <w:tc>
          <w:tcPr>
            <w:tcW w:w="4961" w:type="dxa"/>
            <w:shd w:val="clear" w:color="auto" w:fill="BDD6EE" w:themeFill="accent5" w:themeFillTint="66"/>
            <w:vAlign w:val="center"/>
          </w:tcPr>
          <w:p w14:paraId="479647A8" w14:textId="3CA133C0" w:rsidR="00B47B7A" w:rsidRPr="00B82F82" w:rsidRDefault="00B47B7A" w:rsidP="009A2BAD">
            <w:pPr>
              <w:jc w:val="both"/>
              <w:rPr>
                <w:rFonts w:ascii="Times New Roman" w:hAnsi="Times New Roman" w:cs="Times New Roman"/>
                <w:sz w:val="20"/>
                <w:szCs w:val="20"/>
              </w:rPr>
            </w:pPr>
            <w:r w:rsidRPr="00B82F82">
              <w:rPr>
                <w:rFonts w:ascii="Times New Roman" w:hAnsi="Times New Roman" w:cs="Times New Roman"/>
                <w:sz w:val="20"/>
                <w:szCs w:val="20"/>
              </w:rPr>
              <w:t>Stratejik amaç ve hedefler doğrultusunda gerçekleştirilen uygulamalar izlenmekte ve paydaşlarla birlikte değerlendirilerek önlemler alınmaktadır.</w:t>
            </w:r>
          </w:p>
        </w:tc>
        <w:tc>
          <w:tcPr>
            <w:tcW w:w="709" w:type="dxa"/>
            <w:tcBorders>
              <w:right w:val="single" w:sz="12" w:space="0" w:color="auto"/>
            </w:tcBorders>
            <w:shd w:val="clear" w:color="auto" w:fill="BDD6EE" w:themeFill="accent5" w:themeFillTint="66"/>
            <w:vAlign w:val="center"/>
          </w:tcPr>
          <w:p w14:paraId="6B47CA73" w14:textId="0F4B1B5A"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1AB02612" w14:textId="77777777" w:rsidTr="00C70740">
        <w:trPr>
          <w:trHeight w:val="1697"/>
        </w:trPr>
        <w:tc>
          <w:tcPr>
            <w:tcW w:w="993" w:type="dxa"/>
            <w:vMerge/>
            <w:tcBorders>
              <w:left w:val="single" w:sz="12" w:space="0" w:color="auto"/>
            </w:tcBorders>
            <w:shd w:val="clear" w:color="auto" w:fill="9CC2E5" w:themeFill="accent5" w:themeFillTint="99"/>
            <w:vAlign w:val="center"/>
          </w:tcPr>
          <w:p w14:paraId="50FAE977" w14:textId="77777777" w:rsidR="00B47B7A" w:rsidRPr="00C70740" w:rsidRDefault="00B47B7A" w:rsidP="00C70740">
            <w:pPr>
              <w:jc w:val="both"/>
              <w:rPr>
                <w:rFonts w:ascii="Times New Roman" w:hAnsi="Times New Roman" w:cs="Times New Roman"/>
                <w:b/>
                <w:bCs/>
                <w:color w:val="000000" w:themeColor="text1"/>
                <w:sz w:val="20"/>
                <w:szCs w:val="20"/>
              </w:rPr>
            </w:pPr>
          </w:p>
        </w:tc>
        <w:tc>
          <w:tcPr>
            <w:tcW w:w="1963" w:type="dxa"/>
            <w:shd w:val="clear" w:color="auto" w:fill="DEEAF6" w:themeFill="accent5" w:themeFillTint="33"/>
            <w:vAlign w:val="center"/>
          </w:tcPr>
          <w:p w14:paraId="2B8EA0FA" w14:textId="77777777" w:rsidR="00B47B7A" w:rsidRPr="007843E6" w:rsidRDefault="00B47B7A" w:rsidP="00B47B7A">
            <w:pPr>
              <w:rPr>
                <w:rFonts w:ascii="Times New Roman" w:hAnsi="Times New Roman" w:cs="Times New Roman"/>
                <w:b/>
                <w:bCs/>
                <w:sz w:val="18"/>
                <w:szCs w:val="18"/>
              </w:rPr>
            </w:pPr>
            <w:r w:rsidRPr="007843E6">
              <w:rPr>
                <w:rFonts w:ascii="Times New Roman" w:hAnsi="Times New Roman" w:cs="Times New Roman"/>
                <w:b/>
                <w:bCs/>
                <w:sz w:val="18"/>
                <w:szCs w:val="18"/>
              </w:rPr>
              <w:t>A.1.2.</w:t>
            </w:r>
          </w:p>
          <w:p w14:paraId="02638D6B" w14:textId="19C2687F"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Kalite güvencesi, eğitim öğretim, araştırma geliştirme, toplumsal katkı ve yönetim sistemi politikaları</w:t>
            </w:r>
          </w:p>
        </w:tc>
        <w:tc>
          <w:tcPr>
            <w:tcW w:w="4278" w:type="dxa"/>
            <w:shd w:val="clear" w:color="auto" w:fill="DEEAF6" w:themeFill="accent5" w:themeFillTint="33"/>
            <w:vAlign w:val="center"/>
          </w:tcPr>
          <w:p w14:paraId="4034E65D" w14:textId="05F4DBC8"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Tüm alanlardaki kurumsal politikaların birbirleri ile olan ilişkileri kurulmuş ve politikalardaki bu bütüncül yapı iç kalite güvence sistemini yönlendirmektedir; sonuçlar izlenmekte ve paydaşlarla birlikte değerlendirilerek önlemler alınmaktadır.</w:t>
            </w:r>
          </w:p>
        </w:tc>
        <w:tc>
          <w:tcPr>
            <w:tcW w:w="708" w:type="dxa"/>
            <w:shd w:val="clear" w:color="auto" w:fill="DEEAF6" w:themeFill="accent5" w:themeFillTint="33"/>
            <w:vAlign w:val="center"/>
          </w:tcPr>
          <w:p w14:paraId="487642DF" w14:textId="1DA02927"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BDD6EE" w:themeFill="accent5" w:themeFillTint="66"/>
            <w:vAlign w:val="center"/>
          </w:tcPr>
          <w:p w14:paraId="3F39C1F8" w14:textId="77777777" w:rsidR="009A2BAD" w:rsidRPr="00B82F82" w:rsidRDefault="009A2BAD" w:rsidP="009A2BAD">
            <w:pPr>
              <w:rPr>
                <w:rFonts w:ascii="Times New Roman" w:hAnsi="Times New Roman" w:cs="Times New Roman"/>
                <w:b/>
                <w:bCs/>
                <w:sz w:val="20"/>
                <w:szCs w:val="20"/>
              </w:rPr>
            </w:pPr>
            <w:r w:rsidRPr="00B82F82">
              <w:rPr>
                <w:rFonts w:ascii="Times New Roman" w:hAnsi="Times New Roman" w:cs="Times New Roman"/>
                <w:b/>
                <w:bCs/>
                <w:sz w:val="20"/>
                <w:szCs w:val="20"/>
              </w:rPr>
              <w:t xml:space="preserve">A.1.2. </w:t>
            </w:r>
          </w:p>
          <w:p w14:paraId="15364917" w14:textId="28361E6B" w:rsidR="00B47B7A" w:rsidRPr="00B82F82" w:rsidRDefault="009A2BAD" w:rsidP="009A2BAD">
            <w:pPr>
              <w:rPr>
                <w:rFonts w:ascii="Times New Roman" w:hAnsi="Times New Roman" w:cs="Times New Roman"/>
                <w:sz w:val="20"/>
                <w:szCs w:val="20"/>
              </w:rPr>
            </w:pPr>
            <w:r w:rsidRPr="00B82F82">
              <w:rPr>
                <w:rFonts w:ascii="Times New Roman" w:hAnsi="Times New Roman" w:cs="Times New Roman"/>
                <w:sz w:val="20"/>
                <w:szCs w:val="20"/>
              </w:rPr>
              <w:t>Kalite güvencesi; eğitim ve öğretim; araştırma ve geliştirme; toplumsal katkı ve yönetim politikaları</w:t>
            </w:r>
          </w:p>
        </w:tc>
        <w:tc>
          <w:tcPr>
            <w:tcW w:w="4961" w:type="dxa"/>
            <w:shd w:val="clear" w:color="auto" w:fill="BDD6EE" w:themeFill="accent5" w:themeFillTint="66"/>
            <w:vAlign w:val="center"/>
          </w:tcPr>
          <w:p w14:paraId="7BF0419F" w14:textId="066614BD"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Bu politikalar ve bağlı uygulamalar izlenmekte ve ilgili paydaşlarla birlikte değerlendirilmektedir.</w:t>
            </w:r>
          </w:p>
        </w:tc>
        <w:tc>
          <w:tcPr>
            <w:tcW w:w="709" w:type="dxa"/>
            <w:tcBorders>
              <w:right w:val="single" w:sz="12" w:space="0" w:color="auto"/>
            </w:tcBorders>
            <w:shd w:val="clear" w:color="auto" w:fill="BDD6EE" w:themeFill="accent5" w:themeFillTint="66"/>
            <w:vAlign w:val="center"/>
          </w:tcPr>
          <w:p w14:paraId="4B125E15" w14:textId="176F3555"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58C28267" w14:textId="77777777" w:rsidTr="00C70740">
        <w:trPr>
          <w:trHeight w:val="1537"/>
        </w:trPr>
        <w:tc>
          <w:tcPr>
            <w:tcW w:w="993" w:type="dxa"/>
            <w:vMerge/>
            <w:tcBorders>
              <w:left w:val="single" w:sz="12" w:space="0" w:color="auto"/>
              <w:bottom w:val="single" w:sz="12" w:space="0" w:color="auto"/>
            </w:tcBorders>
            <w:shd w:val="clear" w:color="auto" w:fill="9CC2E5" w:themeFill="accent5" w:themeFillTint="99"/>
            <w:vAlign w:val="center"/>
          </w:tcPr>
          <w:p w14:paraId="2B8B9B5A" w14:textId="77777777" w:rsidR="00B47B7A" w:rsidRPr="00C70740" w:rsidRDefault="00B47B7A" w:rsidP="00C70740">
            <w:pP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DEEAF6" w:themeFill="accent5" w:themeFillTint="33"/>
            <w:vAlign w:val="center"/>
          </w:tcPr>
          <w:p w14:paraId="03C7B07D" w14:textId="77777777" w:rsidR="00B47B7A" w:rsidRPr="007843E6" w:rsidRDefault="00B47B7A" w:rsidP="00B47B7A">
            <w:pPr>
              <w:rPr>
                <w:rFonts w:ascii="Times New Roman" w:hAnsi="Times New Roman" w:cs="Times New Roman"/>
                <w:b/>
                <w:bCs/>
                <w:sz w:val="18"/>
                <w:szCs w:val="18"/>
              </w:rPr>
            </w:pPr>
            <w:r w:rsidRPr="007843E6">
              <w:rPr>
                <w:rFonts w:ascii="Times New Roman" w:hAnsi="Times New Roman" w:cs="Times New Roman"/>
                <w:b/>
                <w:bCs/>
                <w:sz w:val="18"/>
                <w:szCs w:val="18"/>
              </w:rPr>
              <w:t xml:space="preserve">A.1.3. </w:t>
            </w:r>
          </w:p>
          <w:p w14:paraId="72B13D3A" w14:textId="522F8329"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Kurumsal performans yönetimi</w:t>
            </w:r>
          </w:p>
        </w:tc>
        <w:tc>
          <w:tcPr>
            <w:tcW w:w="4278" w:type="dxa"/>
            <w:tcBorders>
              <w:bottom w:val="single" w:sz="12" w:space="0" w:color="auto"/>
            </w:tcBorders>
            <w:shd w:val="clear" w:color="auto" w:fill="DEEAF6" w:themeFill="accent5" w:themeFillTint="33"/>
            <w:vAlign w:val="center"/>
          </w:tcPr>
          <w:p w14:paraId="1486DF39" w14:textId="3F743ADB"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Tüm alanlarla/süreçlerle ilişkili tüm performans göstergeleri sistematik ve kurumun iç kalite güvencesi sistemi ile uyumlu olarak izlenmekte ve elde edilen sonuçlar paydaşlarla birlikte değerlendirilerek karar almalarda kullanılmakta ve performans yönetimine ilişkin önlemler alınmaktadır.</w:t>
            </w:r>
          </w:p>
        </w:tc>
        <w:tc>
          <w:tcPr>
            <w:tcW w:w="708" w:type="dxa"/>
            <w:tcBorders>
              <w:bottom w:val="single" w:sz="12" w:space="0" w:color="auto"/>
            </w:tcBorders>
            <w:shd w:val="clear" w:color="auto" w:fill="DEEAF6" w:themeFill="accent5" w:themeFillTint="33"/>
            <w:vAlign w:val="center"/>
          </w:tcPr>
          <w:p w14:paraId="152E38A5" w14:textId="6902A711"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BDD6EE" w:themeFill="accent5" w:themeFillTint="66"/>
            <w:vAlign w:val="center"/>
          </w:tcPr>
          <w:p w14:paraId="315A0F80" w14:textId="77777777" w:rsidR="009A2BAD" w:rsidRPr="009A2BAD" w:rsidRDefault="009A2BAD" w:rsidP="009A2BAD">
            <w:pPr>
              <w:jc w:val="both"/>
              <w:rPr>
                <w:rFonts w:ascii="Times New Roman" w:hAnsi="Times New Roman" w:cs="Times New Roman"/>
                <w:b/>
                <w:bCs/>
                <w:sz w:val="20"/>
                <w:szCs w:val="20"/>
              </w:rPr>
            </w:pPr>
            <w:r w:rsidRPr="009A2BAD">
              <w:rPr>
                <w:rFonts w:ascii="Times New Roman" w:hAnsi="Times New Roman" w:cs="Times New Roman"/>
                <w:b/>
                <w:bCs/>
                <w:sz w:val="20"/>
                <w:szCs w:val="20"/>
              </w:rPr>
              <w:t xml:space="preserve">A.1.3. </w:t>
            </w:r>
          </w:p>
          <w:p w14:paraId="0973CEE3" w14:textId="67117EDC" w:rsidR="00B47B7A" w:rsidRPr="00B82F82" w:rsidRDefault="009A2BAD" w:rsidP="009A2BAD">
            <w:pPr>
              <w:jc w:val="both"/>
              <w:rPr>
                <w:rFonts w:ascii="Times New Roman" w:hAnsi="Times New Roman" w:cs="Times New Roman"/>
                <w:sz w:val="20"/>
                <w:szCs w:val="20"/>
              </w:rPr>
            </w:pPr>
            <w:r w:rsidRPr="00B82F82">
              <w:rPr>
                <w:rFonts w:ascii="Times New Roman" w:hAnsi="Times New Roman" w:cs="Times New Roman"/>
                <w:sz w:val="20"/>
                <w:szCs w:val="20"/>
              </w:rPr>
              <w:t>Kurumsal performans yönetimi</w:t>
            </w:r>
          </w:p>
        </w:tc>
        <w:tc>
          <w:tcPr>
            <w:tcW w:w="4961" w:type="dxa"/>
            <w:tcBorders>
              <w:bottom w:val="single" w:sz="12" w:space="0" w:color="auto"/>
            </w:tcBorders>
            <w:shd w:val="clear" w:color="auto" w:fill="BDD6EE" w:themeFill="accent5" w:themeFillTint="66"/>
            <w:vAlign w:val="center"/>
          </w:tcPr>
          <w:p w14:paraId="293FC87E" w14:textId="5E9EB432"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Kurumda performans göstergelerinin işlerliği ve performans yönetimi mekanizmaları izlenmekte ve izlem sonuçlarına göre iyileştirmeler gerçekleştirilmektedir.</w:t>
            </w:r>
          </w:p>
        </w:tc>
        <w:tc>
          <w:tcPr>
            <w:tcW w:w="709" w:type="dxa"/>
            <w:tcBorders>
              <w:bottom w:val="single" w:sz="12" w:space="0" w:color="auto"/>
              <w:right w:val="single" w:sz="12" w:space="0" w:color="auto"/>
            </w:tcBorders>
            <w:shd w:val="clear" w:color="auto" w:fill="BDD6EE" w:themeFill="accent5" w:themeFillTint="66"/>
            <w:vAlign w:val="center"/>
          </w:tcPr>
          <w:p w14:paraId="0EFB463E" w14:textId="1EE751B1"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1A126C52" w14:textId="77777777" w:rsidTr="00C70740">
        <w:trPr>
          <w:cantSplit/>
          <w:trHeight w:val="2127"/>
        </w:trPr>
        <w:tc>
          <w:tcPr>
            <w:tcW w:w="993" w:type="dxa"/>
            <w:vMerge w:val="restart"/>
            <w:tcBorders>
              <w:top w:val="single" w:sz="12" w:space="0" w:color="auto"/>
              <w:left w:val="single" w:sz="12" w:space="0" w:color="auto"/>
            </w:tcBorders>
            <w:shd w:val="clear" w:color="auto" w:fill="9CC2E5" w:themeFill="accent5" w:themeFillTint="99"/>
            <w:textDirection w:val="btLr"/>
            <w:vAlign w:val="center"/>
          </w:tcPr>
          <w:p w14:paraId="471CC0F2"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A.2. </w:t>
            </w:r>
          </w:p>
          <w:p w14:paraId="42DB91F1" w14:textId="54A488B1"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İç Kalite Güvencesi</w:t>
            </w:r>
          </w:p>
        </w:tc>
        <w:tc>
          <w:tcPr>
            <w:tcW w:w="1963" w:type="dxa"/>
            <w:tcBorders>
              <w:top w:val="single" w:sz="12" w:space="0" w:color="auto"/>
            </w:tcBorders>
            <w:shd w:val="clear" w:color="auto" w:fill="DEEAF6" w:themeFill="accent5" w:themeFillTint="33"/>
            <w:vAlign w:val="center"/>
          </w:tcPr>
          <w:p w14:paraId="032BC4F0" w14:textId="77777777" w:rsidR="00B47B7A" w:rsidRDefault="00B47B7A" w:rsidP="00B47B7A">
            <w:pPr>
              <w:rPr>
                <w:rFonts w:ascii="Times New Roman" w:hAnsi="Times New Roman" w:cs="Times New Roman"/>
                <w:sz w:val="18"/>
                <w:szCs w:val="18"/>
              </w:rPr>
            </w:pPr>
            <w:r w:rsidRPr="007843E6">
              <w:rPr>
                <w:rFonts w:ascii="Times New Roman" w:hAnsi="Times New Roman" w:cs="Times New Roman"/>
                <w:b/>
                <w:bCs/>
                <w:sz w:val="18"/>
                <w:szCs w:val="18"/>
              </w:rPr>
              <w:t>A.2.1.</w:t>
            </w:r>
            <w:r w:rsidRPr="007843E6">
              <w:rPr>
                <w:rFonts w:ascii="Times New Roman" w:hAnsi="Times New Roman" w:cs="Times New Roman"/>
                <w:sz w:val="18"/>
                <w:szCs w:val="18"/>
              </w:rPr>
              <w:t xml:space="preserve"> </w:t>
            </w:r>
          </w:p>
          <w:p w14:paraId="39118701" w14:textId="5C1A9750"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Kalite Komisyonu</w:t>
            </w:r>
          </w:p>
        </w:tc>
        <w:tc>
          <w:tcPr>
            <w:tcW w:w="4278" w:type="dxa"/>
            <w:tcBorders>
              <w:top w:val="single" w:sz="12" w:space="0" w:color="auto"/>
            </w:tcBorders>
            <w:shd w:val="clear" w:color="auto" w:fill="DEEAF6" w:themeFill="accent5" w:themeFillTint="33"/>
            <w:vAlign w:val="center"/>
          </w:tcPr>
          <w:p w14:paraId="7075062E" w14:textId="1F57E4F6"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Kalite komisyonu ve komisyona destek olmak amacıyla oluşturulan kalite odaklı organizasyonel yapılar; yetki, görev ve sorumlulukları doğrultusunda sistematik ve kurumdaki bütüncül kalite yönetimi kapsamında çalışmalarını yürütmekte; yürütülen</w:t>
            </w:r>
            <w:r>
              <w:rPr>
                <w:rFonts w:ascii="Times New Roman" w:hAnsi="Times New Roman" w:cs="Times New Roman"/>
                <w:sz w:val="18"/>
                <w:szCs w:val="18"/>
              </w:rPr>
              <w:t xml:space="preserve"> </w:t>
            </w:r>
            <w:r w:rsidRPr="007843E6">
              <w:rPr>
                <w:rFonts w:ascii="Times New Roman" w:hAnsi="Times New Roman" w:cs="Times New Roman"/>
                <w:sz w:val="18"/>
                <w:szCs w:val="18"/>
              </w:rPr>
              <w:t>uygulamalardan elde edilen bulgular izlenmekte ve izlem sonuçları değerlendirilerek iyileştirmeler gerçekleştirilmektedir.</w:t>
            </w:r>
          </w:p>
        </w:tc>
        <w:tc>
          <w:tcPr>
            <w:tcW w:w="708" w:type="dxa"/>
            <w:tcBorders>
              <w:top w:val="single" w:sz="12" w:space="0" w:color="auto"/>
            </w:tcBorders>
            <w:shd w:val="clear" w:color="auto" w:fill="DEEAF6" w:themeFill="accent5" w:themeFillTint="33"/>
            <w:vAlign w:val="center"/>
          </w:tcPr>
          <w:p w14:paraId="547B043A" w14:textId="12CC70EA"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BDD6EE" w:themeFill="accent5" w:themeFillTint="66"/>
            <w:vAlign w:val="center"/>
          </w:tcPr>
          <w:p w14:paraId="028C08D2" w14:textId="77777777" w:rsidR="009A2BAD" w:rsidRPr="009A2BAD" w:rsidRDefault="009A2BAD" w:rsidP="009A2BAD">
            <w:pPr>
              <w:jc w:val="both"/>
              <w:rPr>
                <w:rFonts w:ascii="Times New Roman" w:hAnsi="Times New Roman" w:cs="Times New Roman"/>
                <w:sz w:val="20"/>
                <w:szCs w:val="20"/>
              </w:rPr>
            </w:pPr>
            <w:r w:rsidRPr="009A2BAD">
              <w:rPr>
                <w:rFonts w:ascii="Times New Roman" w:hAnsi="Times New Roman" w:cs="Times New Roman"/>
                <w:b/>
                <w:bCs/>
                <w:sz w:val="20"/>
                <w:szCs w:val="20"/>
              </w:rPr>
              <w:t>A.2.1.</w:t>
            </w:r>
            <w:r w:rsidRPr="009A2BAD">
              <w:rPr>
                <w:rFonts w:ascii="Times New Roman" w:hAnsi="Times New Roman" w:cs="Times New Roman"/>
                <w:sz w:val="20"/>
                <w:szCs w:val="20"/>
              </w:rPr>
              <w:t xml:space="preserve"> </w:t>
            </w:r>
          </w:p>
          <w:p w14:paraId="0A8F231C" w14:textId="513B12A4" w:rsidR="00B47B7A" w:rsidRPr="00B82F82" w:rsidRDefault="009A2BAD" w:rsidP="009A2BAD">
            <w:pPr>
              <w:jc w:val="both"/>
              <w:rPr>
                <w:rFonts w:ascii="Times New Roman" w:hAnsi="Times New Roman" w:cs="Times New Roman"/>
                <w:sz w:val="20"/>
                <w:szCs w:val="20"/>
              </w:rPr>
            </w:pPr>
            <w:r w:rsidRPr="00B82F82">
              <w:rPr>
                <w:rFonts w:ascii="Times New Roman" w:hAnsi="Times New Roman" w:cs="Times New Roman"/>
                <w:sz w:val="20"/>
                <w:szCs w:val="20"/>
              </w:rPr>
              <w:t>Kalite Komisyonu</w:t>
            </w:r>
          </w:p>
        </w:tc>
        <w:tc>
          <w:tcPr>
            <w:tcW w:w="4961" w:type="dxa"/>
            <w:tcBorders>
              <w:top w:val="single" w:sz="12" w:space="0" w:color="auto"/>
            </w:tcBorders>
            <w:shd w:val="clear" w:color="auto" w:fill="BDD6EE" w:themeFill="accent5" w:themeFillTint="66"/>
            <w:vAlign w:val="center"/>
          </w:tcPr>
          <w:p w14:paraId="0E5E061B" w14:textId="3AD4A372"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Kalite komisyonu çalışma biçimi ve işleyişi izlenmekte ve bağlı iyileştirmeler gerçekleştirilmektedir.</w:t>
            </w:r>
          </w:p>
        </w:tc>
        <w:tc>
          <w:tcPr>
            <w:tcW w:w="709" w:type="dxa"/>
            <w:tcBorders>
              <w:top w:val="single" w:sz="12" w:space="0" w:color="auto"/>
              <w:right w:val="single" w:sz="12" w:space="0" w:color="auto"/>
            </w:tcBorders>
            <w:shd w:val="clear" w:color="auto" w:fill="BDD6EE" w:themeFill="accent5" w:themeFillTint="66"/>
            <w:vAlign w:val="center"/>
          </w:tcPr>
          <w:p w14:paraId="481CF5E7" w14:textId="640EFFEA"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3F13D98D" w14:textId="77777777" w:rsidTr="00C70740">
        <w:trPr>
          <w:trHeight w:val="1831"/>
        </w:trPr>
        <w:tc>
          <w:tcPr>
            <w:tcW w:w="993" w:type="dxa"/>
            <w:vMerge/>
            <w:tcBorders>
              <w:left w:val="single" w:sz="12" w:space="0" w:color="auto"/>
            </w:tcBorders>
            <w:shd w:val="clear" w:color="auto" w:fill="9CC2E5" w:themeFill="accent5" w:themeFillTint="99"/>
            <w:vAlign w:val="center"/>
          </w:tcPr>
          <w:p w14:paraId="09435385" w14:textId="77777777" w:rsidR="00B47B7A" w:rsidRPr="00C70740" w:rsidRDefault="00B47B7A" w:rsidP="00C70740">
            <w:pPr>
              <w:rPr>
                <w:rFonts w:ascii="Times New Roman" w:hAnsi="Times New Roman" w:cs="Times New Roman"/>
                <w:b/>
                <w:bCs/>
                <w:color w:val="000000" w:themeColor="text1"/>
                <w:sz w:val="20"/>
                <w:szCs w:val="20"/>
              </w:rPr>
            </w:pPr>
          </w:p>
        </w:tc>
        <w:tc>
          <w:tcPr>
            <w:tcW w:w="1963" w:type="dxa"/>
            <w:shd w:val="clear" w:color="auto" w:fill="DEEAF6" w:themeFill="accent5" w:themeFillTint="33"/>
            <w:vAlign w:val="center"/>
          </w:tcPr>
          <w:p w14:paraId="3DB0D67A" w14:textId="77777777" w:rsidR="00B47B7A" w:rsidRDefault="00B47B7A" w:rsidP="00B47B7A">
            <w:pPr>
              <w:rPr>
                <w:rFonts w:ascii="Times New Roman" w:hAnsi="Times New Roman" w:cs="Times New Roman"/>
                <w:sz w:val="18"/>
                <w:szCs w:val="18"/>
              </w:rPr>
            </w:pPr>
            <w:r w:rsidRPr="007843E6">
              <w:rPr>
                <w:rFonts w:ascii="Times New Roman" w:hAnsi="Times New Roman" w:cs="Times New Roman"/>
                <w:b/>
                <w:bCs/>
                <w:sz w:val="18"/>
                <w:szCs w:val="18"/>
              </w:rPr>
              <w:t>A.2.2.</w:t>
            </w:r>
            <w:r w:rsidRPr="007843E6">
              <w:rPr>
                <w:rFonts w:ascii="Times New Roman" w:hAnsi="Times New Roman" w:cs="Times New Roman"/>
                <w:sz w:val="18"/>
                <w:szCs w:val="18"/>
              </w:rPr>
              <w:t xml:space="preserve"> </w:t>
            </w:r>
          </w:p>
          <w:p w14:paraId="4FD2519E" w14:textId="412EDBBE"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İç kalite güvencesi mekanizmaları (PUKÖ çevrimleri, takvim, birimlerin yapısı)</w:t>
            </w:r>
          </w:p>
        </w:tc>
        <w:tc>
          <w:tcPr>
            <w:tcW w:w="4278" w:type="dxa"/>
            <w:shd w:val="clear" w:color="auto" w:fill="DEEAF6" w:themeFill="accent5" w:themeFillTint="33"/>
            <w:vAlign w:val="center"/>
          </w:tcPr>
          <w:p w14:paraId="5291ED58" w14:textId="57A20BCD"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 tüm birimleri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708" w:type="dxa"/>
            <w:shd w:val="clear" w:color="auto" w:fill="DEEAF6" w:themeFill="accent5" w:themeFillTint="33"/>
            <w:vAlign w:val="center"/>
          </w:tcPr>
          <w:p w14:paraId="434B25BB" w14:textId="39B91ABE"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BDD6EE" w:themeFill="accent5" w:themeFillTint="66"/>
            <w:vAlign w:val="center"/>
          </w:tcPr>
          <w:p w14:paraId="42A8670C" w14:textId="77777777" w:rsidR="00982474" w:rsidRPr="00B82F82" w:rsidRDefault="00982474" w:rsidP="00B47B7A">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A.2.2. </w:t>
            </w:r>
          </w:p>
          <w:p w14:paraId="07693381" w14:textId="4463C5CF" w:rsidR="00B47B7A" w:rsidRPr="00B82F82" w:rsidRDefault="00982474" w:rsidP="00B47B7A">
            <w:pPr>
              <w:jc w:val="both"/>
              <w:rPr>
                <w:rFonts w:ascii="Times New Roman" w:hAnsi="Times New Roman" w:cs="Times New Roman"/>
                <w:sz w:val="20"/>
                <w:szCs w:val="20"/>
              </w:rPr>
            </w:pPr>
            <w:r w:rsidRPr="00B82F82">
              <w:rPr>
                <w:rFonts w:ascii="Times New Roman" w:hAnsi="Times New Roman" w:cs="Times New Roman"/>
                <w:sz w:val="20"/>
                <w:szCs w:val="20"/>
              </w:rPr>
              <w:t>İç kalite güvencesi mekanizmaları (PUKÖ çevrimleri, takvim, birimlerin yapısı)</w:t>
            </w:r>
          </w:p>
        </w:tc>
        <w:tc>
          <w:tcPr>
            <w:tcW w:w="4961" w:type="dxa"/>
            <w:shd w:val="clear" w:color="auto" w:fill="BDD6EE" w:themeFill="accent5" w:themeFillTint="66"/>
            <w:vAlign w:val="center"/>
          </w:tcPr>
          <w:p w14:paraId="34F34BD4" w14:textId="714FC4E0" w:rsidR="00B47B7A" w:rsidRPr="00B82F82" w:rsidRDefault="00B47B7A" w:rsidP="00982474">
            <w:pPr>
              <w:jc w:val="both"/>
              <w:rPr>
                <w:rFonts w:ascii="Times New Roman" w:hAnsi="Times New Roman" w:cs="Times New Roman"/>
                <w:sz w:val="20"/>
                <w:szCs w:val="20"/>
              </w:rPr>
            </w:pPr>
            <w:r w:rsidRPr="00B82F82">
              <w:rPr>
                <w:rFonts w:ascii="Times New Roman" w:hAnsi="Times New Roman" w:cs="Times New Roman"/>
                <w:sz w:val="20"/>
                <w:szCs w:val="20"/>
              </w:rPr>
              <w:t>İç kalite güvencesi sistemi mekanizmaları izlenmekte ve</w:t>
            </w:r>
            <w:r w:rsidR="00982474" w:rsidRPr="00B82F82">
              <w:rPr>
                <w:rFonts w:ascii="Times New Roman" w:hAnsi="Times New Roman" w:cs="Times New Roman"/>
                <w:sz w:val="20"/>
                <w:szCs w:val="20"/>
              </w:rPr>
              <w:t xml:space="preserve"> </w:t>
            </w:r>
            <w:r w:rsidRPr="00B82F82">
              <w:rPr>
                <w:rFonts w:ascii="Times New Roman" w:hAnsi="Times New Roman" w:cs="Times New Roman"/>
                <w:sz w:val="20"/>
                <w:szCs w:val="20"/>
              </w:rPr>
              <w:t>ilgili paydaşlarla birlikte iyileştirilmektedir.</w:t>
            </w:r>
          </w:p>
        </w:tc>
        <w:tc>
          <w:tcPr>
            <w:tcW w:w="709" w:type="dxa"/>
            <w:tcBorders>
              <w:right w:val="single" w:sz="12" w:space="0" w:color="auto"/>
            </w:tcBorders>
            <w:shd w:val="clear" w:color="auto" w:fill="BDD6EE" w:themeFill="accent5" w:themeFillTint="66"/>
            <w:vAlign w:val="center"/>
          </w:tcPr>
          <w:p w14:paraId="74B0D622" w14:textId="357F9943"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1D195C9C" w14:textId="77777777" w:rsidTr="00C70740">
        <w:trPr>
          <w:trHeight w:val="1829"/>
        </w:trPr>
        <w:tc>
          <w:tcPr>
            <w:tcW w:w="993" w:type="dxa"/>
            <w:vMerge/>
            <w:tcBorders>
              <w:left w:val="single" w:sz="12" w:space="0" w:color="auto"/>
              <w:bottom w:val="single" w:sz="12" w:space="0" w:color="auto"/>
            </w:tcBorders>
            <w:shd w:val="clear" w:color="auto" w:fill="9CC2E5" w:themeFill="accent5" w:themeFillTint="99"/>
            <w:vAlign w:val="center"/>
          </w:tcPr>
          <w:p w14:paraId="34D56801" w14:textId="77777777" w:rsidR="00B47B7A" w:rsidRPr="00C70740" w:rsidRDefault="00B47B7A" w:rsidP="00C70740">
            <w:pP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DEEAF6" w:themeFill="accent5" w:themeFillTint="33"/>
            <w:vAlign w:val="center"/>
          </w:tcPr>
          <w:p w14:paraId="3AFCA54F" w14:textId="77777777" w:rsidR="00B47B7A" w:rsidRDefault="00B47B7A" w:rsidP="00B47B7A">
            <w:pPr>
              <w:rPr>
                <w:rFonts w:ascii="Times New Roman" w:hAnsi="Times New Roman" w:cs="Times New Roman"/>
                <w:sz w:val="18"/>
                <w:szCs w:val="18"/>
              </w:rPr>
            </w:pPr>
            <w:r w:rsidRPr="007843E6">
              <w:rPr>
                <w:rFonts w:ascii="Times New Roman" w:hAnsi="Times New Roman" w:cs="Times New Roman"/>
                <w:b/>
                <w:bCs/>
                <w:sz w:val="18"/>
                <w:szCs w:val="18"/>
              </w:rPr>
              <w:t>A.2.3.</w:t>
            </w:r>
            <w:r w:rsidRPr="007843E6">
              <w:rPr>
                <w:rFonts w:ascii="Times New Roman" w:hAnsi="Times New Roman" w:cs="Times New Roman"/>
                <w:sz w:val="18"/>
                <w:szCs w:val="18"/>
              </w:rPr>
              <w:t xml:space="preserve"> </w:t>
            </w:r>
          </w:p>
          <w:p w14:paraId="778DD228" w14:textId="4420D79E"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Liderlik ve kalite güvencesi kültürü</w:t>
            </w:r>
          </w:p>
        </w:tc>
        <w:tc>
          <w:tcPr>
            <w:tcW w:w="4278" w:type="dxa"/>
            <w:tcBorders>
              <w:bottom w:val="single" w:sz="12" w:space="0" w:color="auto"/>
            </w:tcBorders>
            <w:shd w:val="clear" w:color="auto" w:fill="DEEAF6" w:themeFill="accent5" w:themeFillTint="33"/>
            <w:vAlign w:val="center"/>
          </w:tcPr>
          <w:p w14:paraId="16C443DE" w14:textId="059E7B81"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 kalite güvencesi kültürünü destekleyen, tüm birimleri ve süreçleri kapsayan kurumsal kültür ve liderlik anlayışı bulunmakta olup; bu kapsamda gerçekleştirilen faaliyetlerden bazı sonuçlar elde edilmiştir. Ancak tüm bu uygulamalar kurumdaki bütüncül kalite yönetimi kapsamında yürütülmemekte ve bu uygulamaların sonuçları izlenmemektedir.</w:t>
            </w:r>
          </w:p>
        </w:tc>
        <w:tc>
          <w:tcPr>
            <w:tcW w:w="708" w:type="dxa"/>
            <w:tcBorders>
              <w:bottom w:val="single" w:sz="12" w:space="0" w:color="auto"/>
            </w:tcBorders>
            <w:shd w:val="clear" w:color="auto" w:fill="DEEAF6" w:themeFill="accent5" w:themeFillTint="33"/>
            <w:vAlign w:val="center"/>
          </w:tcPr>
          <w:p w14:paraId="026C4E87" w14:textId="634B13AA"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bottom w:val="single" w:sz="12" w:space="0" w:color="auto"/>
            </w:tcBorders>
            <w:shd w:val="clear" w:color="auto" w:fill="BDD6EE" w:themeFill="accent5" w:themeFillTint="66"/>
            <w:vAlign w:val="center"/>
          </w:tcPr>
          <w:p w14:paraId="2BC6D895" w14:textId="77777777" w:rsidR="00982474" w:rsidRPr="00982474" w:rsidRDefault="00982474" w:rsidP="00982474">
            <w:pPr>
              <w:jc w:val="both"/>
              <w:rPr>
                <w:rFonts w:ascii="Times New Roman" w:hAnsi="Times New Roman" w:cs="Times New Roman"/>
                <w:sz w:val="20"/>
                <w:szCs w:val="20"/>
              </w:rPr>
            </w:pPr>
            <w:r w:rsidRPr="00982474">
              <w:rPr>
                <w:rFonts w:ascii="Times New Roman" w:hAnsi="Times New Roman" w:cs="Times New Roman"/>
                <w:b/>
                <w:bCs/>
                <w:sz w:val="20"/>
                <w:szCs w:val="20"/>
              </w:rPr>
              <w:t>A.2.3.</w:t>
            </w:r>
            <w:r w:rsidRPr="00982474">
              <w:rPr>
                <w:rFonts w:ascii="Times New Roman" w:hAnsi="Times New Roman" w:cs="Times New Roman"/>
                <w:sz w:val="20"/>
                <w:szCs w:val="20"/>
              </w:rPr>
              <w:t xml:space="preserve"> </w:t>
            </w:r>
          </w:p>
          <w:p w14:paraId="41D35B44" w14:textId="066FA991" w:rsidR="00B47B7A" w:rsidRPr="00B82F82" w:rsidRDefault="00982474" w:rsidP="00982474">
            <w:pPr>
              <w:jc w:val="both"/>
              <w:rPr>
                <w:rFonts w:ascii="Times New Roman" w:hAnsi="Times New Roman" w:cs="Times New Roman"/>
                <w:sz w:val="20"/>
                <w:szCs w:val="20"/>
              </w:rPr>
            </w:pPr>
            <w:r w:rsidRPr="00B82F82">
              <w:rPr>
                <w:rFonts w:ascii="Times New Roman" w:hAnsi="Times New Roman" w:cs="Times New Roman"/>
                <w:sz w:val="20"/>
                <w:szCs w:val="20"/>
              </w:rPr>
              <w:t>Liderlik ve kalite güvencesi kültürü</w:t>
            </w:r>
          </w:p>
        </w:tc>
        <w:tc>
          <w:tcPr>
            <w:tcW w:w="4961" w:type="dxa"/>
            <w:tcBorders>
              <w:bottom w:val="single" w:sz="12" w:space="0" w:color="auto"/>
            </w:tcBorders>
            <w:shd w:val="clear" w:color="auto" w:fill="BDD6EE" w:themeFill="accent5" w:themeFillTint="66"/>
            <w:vAlign w:val="center"/>
          </w:tcPr>
          <w:p w14:paraId="100D5156" w14:textId="51408FF0" w:rsidR="00B47B7A" w:rsidRPr="00B82F82" w:rsidRDefault="005840BF" w:rsidP="00B47B7A">
            <w:pPr>
              <w:jc w:val="both"/>
              <w:rPr>
                <w:rFonts w:ascii="Times New Roman" w:hAnsi="Times New Roman" w:cs="Times New Roman"/>
                <w:sz w:val="20"/>
                <w:szCs w:val="20"/>
              </w:rPr>
            </w:pPr>
            <w:r w:rsidRPr="005840BF">
              <w:rPr>
                <w:rFonts w:ascii="Times New Roman" w:hAnsi="Times New Roman" w:cs="Times New Roman"/>
                <w:sz w:val="20"/>
                <w:szCs w:val="20"/>
              </w:rPr>
              <w:t>Liderlik uygulamaları ve bu uygulamaların kalite güvencesi kültürünün gelişimine katkısı izlenmekte ve bağlı iyileştirmeler gerçekleştirilmektedir.</w:t>
            </w:r>
          </w:p>
        </w:tc>
        <w:tc>
          <w:tcPr>
            <w:tcW w:w="709" w:type="dxa"/>
            <w:tcBorders>
              <w:bottom w:val="single" w:sz="12" w:space="0" w:color="auto"/>
              <w:right w:val="single" w:sz="12" w:space="0" w:color="auto"/>
            </w:tcBorders>
            <w:shd w:val="clear" w:color="auto" w:fill="BDD6EE" w:themeFill="accent5" w:themeFillTint="66"/>
            <w:vAlign w:val="center"/>
          </w:tcPr>
          <w:p w14:paraId="69F5FDE0" w14:textId="68FEB5AF" w:rsidR="00B47B7A" w:rsidRPr="003E232B" w:rsidRDefault="005840BF" w:rsidP="00B47B7A">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B47B7A" w:rsidRPr="007843E6" w14:paraId="08AC531F" w14:textId="77777777" w:rsidTr="00C70740">
        <w:trPr>
          <w:cantSplit/>
          <w:trHeight w:val="2550"/>
        </w:trPr>
        <w:tc>
          <w:tcPr>
            <w:tcW w:w="993" w:type="dxa"/>
            <w:tcBorders>
              <w:top w:val="single" w:sz="12" w:space="0" w:color="auto"/>
              <w:left w:val="single" w:sz="12" w:space="0" w:color="auto"/>
              <w:bottom w:val="single" w:sz="12" w:space="0" w:color="auto"/>
            </w:tcBorders>
            <w:shd w:val="clear" w:color="auto" w:fill="9CC2E5" w:themeFill="accent5" w:themeFillTint="99"/>
            <w:textDirection w:val="btLr"/>
            <w:vAlign w:val="center"/>
          </w:tcPr>
          <w:p w14:paraId="24222713"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A.3. </w:t>
            </w:r>
          </w:p>
          <w:p w14:paraId="7EF33B3F" w14:textId="19B732BC"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Paydaş Katılımı</w:t>
            </w:r>
          </w:p>
        </w:tc>
        <w:tc>
          <w:tcPr>
            <w:tcW w:w="1963" w:type="dxa"/>
            <w:tcBorders>
              <w:top w:val="single" w:sz="12" w:space="0" w:color="auto"/>
              <w:bottom w:val="single" w:sz="12" w:space="0" w:color="auto"/>
            </w:tcBorders>
            <w:shd w:val="clear" w:color="auto" w:fill="DEEAF6" w:themeFill="accent5" w:themeFillTint="33"/>
            <w:vAlign w:val="center"/>
          </w:tcPr>
          <w:p w14:paraId="0FC0ED4A" w14:textId="77777777" w:rsidR="00B47B7A" w:rsidRPr="00263D88" w:rsidRDefault="00B47B7A" w:rsidP="00B47B7A">
            <w:pPr>
              <w:rPr>
                <w:rFonts w:ascii="Times New Roman" w:hAnsi="Times New Roman" w:cs="Times New Roman"/>
                <w:b/>
                <w:bCs/>
                <w:sz w:val="18"/>
                <w:szCs w:val="18"/>
              </w:rPr>
            </w:pPr>
            <w:r w:rsidRPr="00263D88">
              <w:rPr>
                <w:rFonts w:ascii="Times New Roman" w:hAnsi="Times New Roman" w:cs="Times New Roman"/>
                <w:b/>
                <w:bCs/>
                <w:sz w:val="18"/>
                <w:szCs w:val="18"/>
              </w:rPr>
              <w:t xml:space="preserve">A.3.1. </w:t>
            </w:r>
          </w:p>
          <w:p w14:paraId="7102852A" w14:textId="095EAA89"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İç ve dış paydaşların kalite güvencesi, eğitim ve öğretim, araştırma ve geliştirme, yönetim ve uluslararasılaşma süreçlerine katılımı</w:t>
            </w:r>
          </w:p>
        </w:tc>
        <w:tc>
          <w:tcPr>
            <w:tcW w:w="4278" w:type="dxa"/>
            <w:tcBorders>
              <w:top w:val="single" w:sz="12" w:space="0" w:color="auto"/>
              <w:bottom w:val="single" w:sz="12" w:space="0" w:color="auto"/>
            </w:tcBorders>
            <w:shd w:val="clear" w:color="auto" w:fill="DEEAF6" w:themeFill="accent5" w:themeFillTint="33"/>
            <w:vAlign w:val="center"/>
          </w:tcPr>
          <w:p w14:paraId="08BB9AD1" w14:textId="2B1E8CBC"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Kurumdaki tüm süreçlere ve karar almalara paydaşların katılımı kurumdaki bütüncül kalite yönetimi kapsamında yürütülmekte ve paydaş katılımı uygulamalarından elde edilen bulgular izlenerek paydaşlarla birlikte değerlendirilmekte ve izlem sonuçlarına göre önlem alınmaktadır.</w:t>
            </w:r>
          </w:p>
        </w:tc>
        <w:tc>
          <w:tcPr>
            <w:tcW w:w="708" w:type="dxa"/>
            <w:tcBorders>
              <w:top w:val="single" w:sz="12" w:space="0" w:color="auto"/>
              <w:bottom w:val="single" w:sz="12" w:space="0" w:color="auto"/>
            </w:tcBorders>
            <w:shd w:val="clear" w:color="auto" w:fill="DEEAF6" w:themeFill="accent5" w:themeFillTint="33"/>
            <w:vAlign w:val="center"/>
          </w:tcPr>
          <w:p w14:paraId="202EEF76" w14:textId="4E09E07D"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bottom w:val="single" w:sz="12" w:space="0" w:color="auto"/>
            </w:tcBorders>
            <w:shd w:val="clear" w:color="auto" w:fill="BDD6EE" w:themeFill="accent5" w:themeFillTint="66"/>
            <w:vAlign w:val="center"/>
          </w:tcPr>
          <w:p w14:paraId="659C1D64" w14:textId="77777777" w:rsidR="00982474" w:rsidRPr="00B82F82" w:rsidRDefault="00982474" w:rsidP="00B47B7A">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A.3.1. </w:t>
            </w:r>
          </w:p>
          <w:p w14:paraId="7D400E1A" w14:textId="725297F2" w:rsidR="00B47B7A" w:rsidRPr="00B82F82" w:rsidRDefault="00982474" w:rsidP="00982474">
            <w:pPr>
              <w:rPr>
                <w:rFonts w:ascii="Times New Roman" w:hAnsi="Times New Roman" w:cs="Times New Roman"/>
                <w:sz w:val="20"/>
                <w:szCs w:val="20"/>
              </w:rPr>
            </w:pPr>
            <w:r w:rsidRPr="00B82F82">
              <w:rPr>
                <w:rFonts w:ascii="Times New Roman" w:hAnsi="Times New Roman" w:cs="Times New Roman"/>
                <w:sz w:val="20"/>
                <w:szCs w:val="20"/>
              </w:rPr>
              <w:t>İç ve dış paydaşların kalite güvencesi, eğitim ve öğretim, araştırma ve geliştirme, yönetim ve uluslararasılaşma süreçlerine katılımı</w:t>
            </w:r>
          </w:p>
        </w:tc>
        <w:tc>
          <w:tcPr>
            <w:tcW w:w="4961" w:type="dxa"/>
            <w:tcBorders>
              <w:top w:val="single" w:sz="12" w:space="0" w:color="auto"/>
              <w:bottom w:val="single" w:sz="12" w:space="0" w:color="auto"/>
            </w:tcBorders>
            <w:shd w:val="clear" w:color="auto" w:fill="BDD6EE" w:themeFill="accent5" w:themeFillTint="66"/>
            <w:vAlign w:val="center"/>
          </w:tcPr>
          <w:p w14:paraId="43A549CC" w14:textId="3D2550BC" w:rsidR="00B47B7A" w:rsidRPr="00B82F82" w:rsidRDefault="005840BF" w:rsidP="00B47B7A">
            <w:pPr>
              <w:jc w:val="both"/>
              <w:rPr>
                <w:rFonts w:ascii="Times New Roman" w:hAnsi="Times New Roman" w:cs="Times New Roman"/>
                <w:sz w:val="20"/>
                <w:szCs w:val="20"/>
              </w:rPr>
            </w:pPr>
            <w:r w:rsidRPr="005840BF">
              <w:rPr>
                <w:rFonts w:ascii="Times New Roman" w:hAnsi="Times New Roman" w:cs="Times New Roman"/>
                <w:sz w:val="20"/>
                <w:szCs w:val="20"/>
              </w:rPr>
              <w:t>Paydaş katılım mekanizmalarının işleyişi izlenmekte ve bağlı iyileştirmeler gerçekleştirilmektedir.</w:t>
            </w:r>
          </w:p>
        </w:tc>
        <w:tc>
          <w:tcPr>
            <w:tcW w:w="709" w:type="dxa"/>
            <w:tcBorders>
              <w:top w:val="single" w:sz="12" w:space="0" w:color="auto"/>
              <w:bottom w:val="single" w:sz="12" w:space="0" w:color="auto"/>
              <w:right w:val="single" w:sz="12" w:space="0" w:color="auto"/>
            </w:tcBorders>
            <w:shd w:val="clear" w:color="auto" w:fill="BDD6EE" w:themeFill="accent5" w:themeFillTint="66"/>
            <w:vAlign w:val="center"/>
          </w:tcPr>
          <w:p w14:paraId="370CFF56" w14:textId="628E8124" w:rsidR="00B47B7A" w:rsidRPr="003E232B" w:rsidRDefault="005840BF" w:rsidP="00B47B7A">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B47B7A" w:rsidRPr="007843E6" w14:paraId="7AE30976" w14:textId="77777777" w:rsidTr="00C70740">
        <w:tc>
          <w:tcPr>
            <w:tcW w:w="993" w:type="dxa"/>
            <w:vMerge w:val="restart"/>
            <w:tcBorders>
              <w:top w:val="single" w:sz="12" w:space="0" w:color="auto"/>
              <w:left w:val="single" w:sz="12" w:space="0" w:color="auto"/>
            </w:tcBorders>
            <w:shd w:val="clear" w:color="auto" w:fill="9CC2E5" w:themeFill="accent5" w:themeFillTint="99"/>
            <w:textDirection w:val="btLr"/>
            <w:vAlign w:val="center"/>
          </w:tcPr>
          <w:p w14:paraId="6F7D9AE1"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A.4. </w:t>
            </w:r>
          </w:p>
          <w:p w14:paraId="0D011309" w14:textId="4D41C70A"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Uluslararasılaşma</w:t>
            </w:r>
          </w:p>
        </w:tc>
        <w:tc>
          <w:tcPr>
            <w:tcW w:w="1963" w:type="dxa"/>
            <w:tcBorders>
              <w:top w:val="single" w:sz="12" w:space="0" w:color="auto"/>
            </w:tcBorders>
            <w:shd w:val="clear" w:color="auto" w:fill="DEEAF6" w:themeFill="accent5" w:themeFillTint="33"/>
            <w:vAlign w:val="center"/>
          </w:tcPr>
          <w:p w14:paraId="55FD8DAC" w14:textId="420CD9C7" w:rsidR="00B47B7A" w:rsidRPr="007843E6" w:rsidRDefault="00B47B7A" w:rsidP="00B47B7A">
            <w:pPr>
              <w:rPr>
                <w:rFonts w:ascii="Times New Roman" w:hAnsi="Times New Roman" w:cs="Times New Roman"/>
                <w:sz w:val="18"/>
                <w:szCs w:val="18"/>
              </w:rPr>
            </w:pPr>
            <w:r w:rsidRPr="00263D88">
              <w:rPr>
                <w:rFonts w:ascii="Times New Roman" w:hAnsi="Times New Roman" w:cs="Times New Roman"/>
                <w:b/>
                <w:bCs/>
                <w:sz w:val="18"/>
                <w:szCs w:val="18"/>
              </w:rPr>
              <w:t>A.4.1.</w:t>
            </w:r>
            <w:r w:rsidRPr="007843E6">
              <w:rPr>
                <w:rFonts w:ascii="Times New Roman" w:hAnsi="Times New Roman" w:cs="Times New Roman"/>
                <w:sz w:val="18"/>
                <w:szCs w:val="18"/>
              </w:rPr>
              <w:t xml:space="preserve"> Uluslararasılaşma politikası</w:t>
            </w:r>
          </w:p>
        </w:tc>
        <w:tc>
          <w:tcPr>
            <w:tcW w:w="4278" w:type="dxa"/>
            <w:tcBorders>
              <w:top w:val="single" w:sz="12" w:space="0" w:color="auto"/>
            </w:tcBorders>
            <w:shd w:val="clear" w:color="auto" w:fill="DEEAF6" w:themeFill="accent5" w:themeFillTint="33"/>
            <w:vAlign w:val="center"/>
          </w:tcPr>
          <w:p w14:paraId="7B30EF46" w14:textId="30E347A1"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Kurumun uluslararasılaşma politikası doğrultusunda yapılan uygulamalar sistematik ve kurumun iç kalite güvencesi sistemi ile uyumlu olarak izlenmekte ve paydaşlarla birlikte değerlendirilerek önlemler alınmaktadır.</w:t>
            </w:r>
          </w:p>
        </w:tc>
        <w:tc>
          <w:tcPr>
            <w:tcW w:w="708" w:type="dxa"/>
            <w:tcBorders>
              <w:top w:val="single" w:sz="12" w:space="0" w:color="auto"/>
            </w:tcBorders>
            <w:shd w:val="clear" w:color="auto" w:fill="DEEAF6" w:themeFill="accent5" w:themeFillTint="33"/>
            <w:vAlign w:val="center"/>
          </w:tcPr>
          <w:p w14:paraId="1F5850EF" w14:textId="1A3FBF56"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BDD6EE" w:themeFill="accent5" w:themeFillTint="66"/>
            <w:vAlign w:val="center"/>
          </w:tcPr>
          <w:p w14:paraId="4E083096" w14:textId="77777777" w:rsidR="005840BF" w:rsidRDefault="00982474" w:rsidP="00B47B7A">
            <w:pPr>
              <w:jc w:val="both"/>
              <w:rPr>
                <w:rFonts w:ascii="Times New Roman" w:hAnsi="Times New Roman" w:cs="Times New Roman"/>
                <w:sz w:val="20"/>
                <w:szCs w:val="20"/>
              </w:rPr>
            </w:pPr>
            <w:r w:rsidRPr="00B82F82">
              <w:rPr>
                <w:rFonts w:ascii="Times New Roman" w:hAnsi="Times New Roman" w:cs="Times New Roman"/>
                <w:b/>
                <w:bCs/>
                <w:sz w:val="20"/>
                <w:szCs w:val="20"/>
              </w:rPr>
              <w:t>A.4.1.</w:t>
            </w:r>
            <w:r w:rsidRPr="00B82F82">
              <w:rPr>
                <w:rFonts w:ascii="Times New Roman" w:hAnsi="Times New Roman" w:cs="Times New Roman"/>
                <w:sz w:val="20"/>
                <w:szCs w:val="20"/>
              </w:rPr>
              <w:t xml:space="preserve"> </w:t>
            </w:r>
          </w:p>
          <w:p w14:paraId="06B3F7F3" w14:textId="5B9714DC" w:rsidR="00B47B7A" w:rsidRPr="00B82F82" w:rsidRDefault="00982474" w:rsidP="00B47B7A">
            <w:pPr>
              <w:jc w:val="both"/>
              <w:rPr>
                <w:rFonts w:ascii="Times New Roman" w:hAnsi="Times New Roman" w:cs="Times New Roman"/>
                <w:sz w:val="20"/>
                <w:szCs w:val="20"/>
              </w:rPr>
            </w:pPr>
            <w:r w:rsidRPr="00B82F82">
              <w:rPr>
                <w:rFonts w:ascii="Times New Roman" w:hAnsi="Times New Roman" w:cs="Times New Roman"/>
                <w:sz w:val="20"/>
                <w:szCs w:val="20"/>
              </w:rPr>
              <w:t>Uluslararasılaşma politikası</w:t>
            </w:r>
          </w:p>
        </w:tc>
        <w:tc>
          <w:tcPr>
            <w:tcW w:w="4961" w:type="dxa"/>
            <w:tcBorders>
              <w:top w:val="single" w:sz="12" w:space="0" w:color="auto"/>
            </w:tcBorders>
            <w:shd w:val="clear" w:color="auto" w:fill="BDD6EE" w:themeFill="accent5" w:themeFillTint="66"/>
            <w:vAlign w:val="center"/>
          </w:tcPr>
          <w:p w14:paraId="1A25A815" w14:textId="1D6A00F8"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Kurumun uluslararasılaşma uygulamaları izlenmekte ve izlem sonuçlarına göre uluslararasılaşma politikaları iyileştirilmektedir.</w:t>
            </w:r>
          </w:p>
        </w:tc>
        <w:tc>
          <w:tcPr>
            <w:tcW w:w="709" w:type="dxa"/>
            <w:tcBorders>
              <w:top w:val="single" w:sz="12" w:space="0" w:color="auto"/>
              <w:right w:val="single" w:sz="12" w:space="0" w:color="auto"/>
            </w:tcBorders>
            <w:shd w:val="clear" w:color="auto" w:fill="BDD6EE" w:themeFill="accent5" w:themeFillTint="66"/>
            <w:vAlign w:val="center"/>
          </w:tcPr>
          <w:p w14:paraId="31ADFD81" w14:textId="6FD9BE2F"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19AC4BAF" w14:textId="77777777" w:rsidTr="00C70740">
        <w:trPr>
          <w:trHeight w:val="1403"/>
        </w:trPr>
        <w:tc>
          <w:tcPr>
            <w:tcW w:w="993" w:type="dxa"/>
            <w:vMerge/>
            <w:tcBorders>
              <w:left w:val="single" w:sz="12" w:space="0" w:color="auto"/>
            </w:tcBorders>
            <w:shd w:val="clear" w:color="auto" w:fill="9CC2E5" w:themeFill="accent5" w:themeFillTint="99"/>
            <w:vAlign w:val="center"/>
          </w:tcPr>
          <w:p w14:paraId="32DC58B5" w14:textId="77777777" w:rsidR="00B47B7A" w:rsidRPr="00C70740" w:rsidRDefault="00B47B7A" w:rsidP="00C70740">
            <w:pPr>
              <w:rPr>
                <w:rFonts w:ascii="Times New Roman" w:hAnsi="Times New Roman" w:cs="Times New Roman"/>
                <w:b/>
                <w:bCs/>
                <w:sz w:val="20"/>
                <w:szCs w:val="20"/>
              </w:rPr>
            </w:pPr>
          </w:p>
        </w:tc>
        <w:tc>
          <w:tcPr>
            <w:tcW w:w="1963" w:type="dxa"/>
            <w:shd w:val="clear" w:color="auto" w:fill="DEEAF6" w:themeFill="accent5" w:themeFillTint="33"/>
            <w:vAlign w:val="center"/>
          </w:tcPr>
          <w:p w14:paraId="72EEFEA2" w14:textId="582A3F72" w:rsidR="00B47B7A" w:rsidRPr="007843E6" w:rsidRDefault="00B47B7A" w:rsidP="00B47B7A">
            <w:pPr>
              <w:rPr>
                <w:rFonts w:ascii="Times New Roman" w:hAnsi="Times New Roman" w:cs="Times New Roman"/>
                <w:sz w:val="18"/>
                <w:szCs w:val="18"/>
              </w:rPr>
            </w:pPr>
            <w:r w:rsidRPr="00263D88">
              <w:rPr>
                <w:rFonts w:ascii="Times New Roman" w:hAnsi="Times New Roman" w:cs="Times New Roman"/>
                <w:b/>
                <w:bCs/>
                <w:sz w:val="18"/>
                <w:szCs w:val="18"/>
              </w:rPr>
              <w:t>A.4.2.</w:t>
            </w:r>
            <w:r w:rsidRPr="007843E6">
              <w:rPr>
                <w:rFonts w:ascii="Times New Roman" w:hAnsi="Times New Roman" w:cs="Times New Roman"/>
                <w:sz w:val="18"/>
                <w:szCs w:val="18"/>
              </w:rPr>
              <w:t xml:space="preserve"> Uluslararasılaşma süreçlerinin yönetimi ve organizasyonel yapısı</w:t>
            </w:r>
          </w:p>
        </w:tc>
        <w:tc>
          <w:tcPr>
            <w:tcW w:w="4278" w:type="dxa"/>
            <w:shd w:val="clear" w:color="auto" w:fill="DEEAF6" w:themeFill="accent5" w:themeFillTint="33"/>
            <w:vAlign w:val="center"/>
          </w:tcPr>
          <w:p w14:paraId="55AB75FA" w14:textId="484B9AAB"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 uluslararasılaşma süreçlerinin yönetimi ile ilişkili sonuçlar ve paydaş görüşleri sistematik olarak izlenmekte ve paydaşlarla birlikte değerlendirilerek önlemler alınmaktadır.</w:t>
            </w:r>
          </w:p>
        </w:tc>
        <w:tc>
          <w:tcPr>
            <w:tcW w:w="708" w:type="dxa"/>
            <w:shd w:val="clear" w:color="auto" w:fill="DEEAF6" w:themeFill="accent5" w:themeFillTint="33"/>
            <w:vAlign w:val="center"/>
          </w:tcPr>
          <w:p w14:paraId="2DD9CBAB" w14:textId="177976D4"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BDD6EE" w:themeFill="accent5" w:themeFillTint="66"/>
            <w:vAlign w:val="center"/>
          </w:tcPr>
          <w:p w14:paraId="5433AED6" w14:textId="77777777" w:rsidR="005840BF" w:rsidRDefault="00244BD0" w:rsidP="00244BD0">
            <w:pPr>
              <w:rPr>
                <w:rFonts w:ascii="Times New Roman" w:hAnsi="Times New Roman" w:cs="Times New Roman"/>
                <w:sz w:val="20"/>
                <w:szCs w:val="20"/>
              </w:rPr>
            </w:pPr>
            <w:r w:rsidRPr="00B82F82">
              <w:rPr>
                <w:rFonts w:ascii="Times New Roman" w:hAnsi="Times New Roman" w:cs="Times New Roman"/>
                <w:b/>
                <w:bCs/>
                <w:sz w:val="20"/>
                <w:szCs w:val="20"/>
              </w:rPr>
              <w:t>A.4.2.</w:t>
            </w:r>
            <w:r w:rsidRPr="00B82F82">
              <w:rPr>
                <w:rFonts w:ascii="Times New Roman" w:hAnsi="Times New Roman" w:cs="Times New Roman"/>
                <w:sz w:val="20"/>
                <w:szCs w:val="20"/>
              </w:rPr>
              <w:t xml:space="preserve"> </w:t>
            </w:r>
          </w:p>
          <w:p w14:paraId="2E61E805" w14:textId="2B3CBD37" w:rsidR="00B47B7A" w:rsidRPr="00B82F82" w:rsidRDefault="00244BD0" w:rsidP="00244BD0">
            <w:pPr>
              <w:rPr>
                <w:rFonts w:ascii="Times New Roman" w:hAnsi="Times New Roman" w:cs="Times New Roman"/>
                <w:sz w:val="20"/>
                <w:szCs w:val="20"/>
              </w:rPr>
            </w:pPr>
            <w:r w:rsidRPr="00B82F82">
              <w:rPr>
                <w:rFonts w:ascii="Times New Roman" w:hAnsi="Times New Roman" w:cs="Times New Roman"/>
                <w:sz w:val="20"/>
                <w:szCs w:val="20"/>
              </w:rPr>
              <w:t>Uluslararasılaşma süreçlerinin yönetimi ve organizasyonel yapısı</w:t>
            </w:r>
          </w:p>
        </w:tc>
        <w:tc>
          <w:tcPr>
            <w:tcW w:w="4961" w:type="dxa"/>
            <w:shd w:val="clear" w:color="auto" w:fill="BDD6EE" w:themeFill="accent5" w:themeFillTint="66"/>
            <w:vAlign w:val="center"/>
          </w:tcPr>
          <w:p w14:paraId="17671C6A" w14:textId="413BCE30"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Kurumda uluslararasılaşma süreçlerinin yönetimine ilişkin organizasyonel yapılanma tamamlanmış olup; şeffaf, kapsayıcı ve katılımcı biçimde işlemektedir.</w:t>
            </w:r>
          </w:p>
        </w:tc>
        <w:tc>
          <w:tcPr>
            <w:tcW w:w="709" w:type="dxa"/>
            <w:tcBorders>
              <w:right w:val="single" w:sz="12" w:space="0" w:color="auto"/>
            </w:tcBorders>
            <w:shd w:val="clear" w:color="auto" w:fill="BDD6EE" w:themeFill="accent5" w:themeFillTint="66"/>
            <w:vAlign w:val="center"/>
          </w:tcPr>
          <w:p w14:paraId="69B9D84F" w14:textId="7E871F61"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3</w:t>
            </w:r>
          </w:p>
        </w:tc>
      </w:tr>
      <w:tr w:rsidR="00B47B7A" w:rsidRPr="007843E6" w14:paraId="51BA2298" w14:textId="77777777" w:rsidTr="00C70740">
        <w:trPr>
          <w:trHeight w:val="2117"/>
        </w:trPr>
        <w:tc>
          <w:tcPr>
            <w:tcW w:w="993" w:type="dxa"/>
            <w:vMerge/>
            <w:tcBorders>
              <w:left w:val="single" w:sz="12" w:space="0" w:color="auto"/>
            </w:tcBorders>
            <w:shd w:val="clear" w:color="auto" w:fill="9CC2E5" w:themeFill="accent5" w:themeFillTint="99"/>
            <w:vAlign w:val="center"/>
          </w:tcPr>
          <w:p w14:paraId="28E08530" w14:textId="77777777" w:rsidR="00B47B7A" w:rsidRPr="00C70740" w:rsidRDefault="00B47B7A" w:rsidP="00C70740">
            <w:pPr>
              <w:rPr>
                <w:rFonts w:ascii="Times New Roman" w:hAnsi="Times New Roman" w:cs="Times New Roman"/>
                <w:b/>
                <w:bCs/>
                <w:sz w:val="20"/>
                <w:szCs w:val="20"/>
              </w:rPr>
            </w:pPr>
          </w:p>
        </w:tc>
        <w:tc>
          <w:tcPr>
            <w:tcW w:w="1963" w:type="dxa"/>
            <w:shd w:val="clear" w:color="auto" w:fill="DEEAF6" w:themeFill="accent5" w:themeFillTint="33"/>
            <w:vAlign w:val="center"/>
          </w:tcPr>
          <w:p w14:paraId="01E02B28" w14:textId="241AC44F" w:rsidR="00B47B7A" w:rsidRPr="007843E6" w:rsidRDefault="00B47B7A" w:rsidP="00B47B7A">
            <w:pPr>
              <w:rPr>
                <w:rFonts w:ascii="Times New Roman" w:hAnsi="Times New Roman" w:cs="Times New Roman"/>
                <w:sz w:val="18"/>
                <w:szCs w:val="18"/>
              </w:rPr>
            </w:pPr>
            <w:r w:rsidRPr="00263D88">
              <w:rPr>
                <w:rFonts w:ascii="Times New Roman" w:hAnsi="Times New Roman" w:cs="Times New Roman"/>
                <w:b/>
                <w:bCs/>
                <w:sz w:val="18"/>
                <w:szCs w:val="18"/>
              </w:rPr>
              <w:t>A.4.3.</w:t>
            </w:r>
            <w:r w:rsidRPr="007843E6">
              <w:rPr>
                <w:rFonts w:ascii="Times New Roman" w:hAnsi="Times New Roman" w:cs="Times New Roman"/>
                <w:sz w:val="18"/>
                <w:szCs w:val="18"/>
              </w:rPr>
              <w:t xml:space="preserve"> Uluslararasılaşma kaynakları</w:t>
            </w:r>
          </w:p>
        </w:tc>
        <w:tc>
          <w:tcPr>
            <w:tcW w:w="4278" w:type="dxa"/>
            <w:shd w:val="clear" w:color="auto" w:fill="DEEAF6" w:themeFill="accent5" w:themeFillTint="33"/>
            <w:vAlign w:val="center"/>
          </w:tcPr>
          <w:p w14:paraId="0FE441F3" w14:textId="5EBB991D"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 fiziki, teknik ve mali kaynaklar, uluslararasılaşma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708" w:type="dxa"/>
            <w:shd w:val="clear" w:color="auto" w:fill="DEEAF6" w:themeFill="accent5" w:themeFillTint="33"/>
            <w:vAlign w:val="center"/>
          </w:tcPr>
          <w:p w14:paraId="42C2C565" w14:textId="5DEDE665"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BDD6EE" w:themeFill="accent5" w:themeFillTint="66"/>
            <w:vAlign w:val="center"/>
          </w:tcPr>
          <w:p w14:paraId="3C7CB5FF" w14:textId="77777777" w:rsidR="005840BF" w:rsidRDefault="00244BD0" w:rsidP="00B47B7A">
            <w:pPr>
              <w:jc w:val="both"/>
              <w:rPr>
                <w:rFonts w:ascii="Times New Roman" w:hAnsi="Times New Roman" w:cs="Times New Roman"/>
                <w:sz w:val="20"/>
                <w:szCs w:val="20"/>
              </w:rPr>
            </w:pPr>
            <w:r w:rsidRPr="00B82F82">
              <w:rPr>
                <w:rFonts w:ascii="Times New Roman" w:hAnsi="Times New Roman" w:cs="Times New Roman"/>
                <w:b/>
                <w:bCs/>
                <w:sz w:val="20"/>
                <w:szCs w:val="20"/>
              </w:rPr>
              <w:t>A.4.3.</w:t>
            </w:r>
            <w:r w:rsidRPr="00B82F82">
              <w:rPr>
                <w:rFonts w:ascii="Times New Roman" w:hAnsi="Times New Roman" w:cs="Times New Roman"/>
                <w:sz w:val="20"/>
                <w:szCs w:val="20"/>
              </w:rPr>
              <w:t xml:space="preserve"> </w:t>
            </w:r>
          </w:p>
          <w:p w14:paraId="3FBA12C8" w14:textId="5DC728FF" w:rsidR="00B47B7A" w:rsidRPr="00B82F82" w:rsidRDefault="00244BD0" w:rsidP="00B47B7A">
            <w:pPr>
              <w:jc w:val="both"/>
              <w:rPr>
                <w:rFonts w:ascii="Times New Roman" w:hAnsi="Times New Roman" w:cs="Times New Roman"/>
                <w:sz w:val="20"/>
                <w:szCs w:val="20"/>
              </w:rPr>
            </w:pPr>
            <w:r w:rsidRPr="00B82F82">
              <w:rPr>
                <w:rFonts w:ascii="Times New Roman" w:hAnsi="Times New Roman" w:cs="Times New Roman"/>
                <w:sz w:val="20"/>
                <w:szCs w:val="20"/>
              </w:rPr>
              <w:t>Uluslararasılaşma kaynakları</w:t>
            </w:r>
          </w:p>
        </w:tc>
        <w:tc>
          <w:tcPr>
            <w:tcW w:w="4961" w:type="dxa"/>
            <w:shd w:val="clear" w:color="auto" w:fill="BDD6EE" w:themeFill="accent5" w:themeFillTint="66"/>
            <w:vAlign w:val="center"/>
          </w:tcPr>
          <w:p w14:paraId="451B946D" w14:textId="7D0EE6D2"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Kurumda uluslararasılaşma kaynaklarının dağılımı izlenmekte ve iyileştirilmektedir.</w:t>
            </w:r>
          </w:p>
        </w:tc>
        <w:tc>
          <w:tcPr>
            <w:tcW w:w="709" w:type="dxa"/>
            <w:tcBorders>
              <w:right w:val="single" w:sz="12" w:space="0" w:color="auto"/>
            </w:tcBorders>
            <w:shd w:val="clear" w:color="auto" w:fill="BDD6EE" w:themeFill="accent5" w:themeFillTint="66"/>
            <w:vAlign w:val="center"/>
          </w:tcPr>
          <w:p w14:paraId="4E19E02E" w14:textId="4C5E8FBA"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14C06CA3" w14:textId="77777777" w:rsidTr="00C70740">
        <w:trPr>
          <w:trHeight w:val="1693"/>
        </w:trPr>
        <w:tc>
          <w:tcPr>
            <w:tcW w:w="993" w:type="dxa"/>
            <w:vMerge/>
            <w:tcBorders>
              <w:left w:val="single" w:sz="12" w:space="0" w:color="auto"/>
              <w:bottom w:val="single" w:sz="12" w:space="0" w:color="auto"/>
            </w:tcBorders>
            <w:shd w:val="clear" w:color="auto" w:fill="9CC2E5" w:themeFill="accent5" w:themeFillTint="99"/>
            <w:vAlign w:val="center"/>
          </w:tcPr>
          <w:p w14:paraId="0063E281" w14:textId="77777777" w:rsidR="00B47B7A" w:rsidRPr="00C70740" w:rsidRDefault="00B47B7A" w:rsidP="00C70740">
            <w:pPr>
              <w:rPr>
                <w:rFonts w:ascii="Times New Roman" w:hAnsi="Times New Roman" w:cs="Times New Roman"/>
                <w:b/>
                <w:bCs/>
                <w:sz w:val="20"/>
                <w:szCs w:val="20"/>
              </w:rPr>
            </w:pPr>
          </w:p>
        </w:tc>
        <w:tc>
          <w:tcPr>
            <w:tcW w:w="1963" w:type="dxa"/>
            <w:tcBorders>
              <w:bottom w:val="single" w:sz="12" w:space="0" w:color="auto"/>
            </w:tcBorders>
            <w:shd w:val="clear" w:color="auto" w:fill="DEEAF6" w:themeFill="accent5" w:themeFillTint="33"/>
            <w:vAlign w:val="center"/>
          </w:tcPr>
          <w:p w14:paraId="6CCE11E9" w14:textId="2DD5551E" w:rsidR="00B47B7A" w:rsidRPr="007843E6" w:rsidRDefault="00B47B7A" w:rsidP="00B47B7A">
            <w:pPr>
              <w:rPr>
                <w:rFonts w:ascii="Times New Roman" w:hAnsi="Times New Roman" w:cs="Times New Roman"/>
                <w:sz w:val="18"/>
                <w:szCs w:val="18"/>
              </w:rPr>
            </w:pPr>
            <w:r w:rsidRPr="00263D88">
              <w:rPr>
                <w:rFonts w:ascii="Times New Roman" w:hAnsi="Times New Roman" w:cs="Times New Roman"/>
                <w:b/>
                <w:bCs/>
                <w:sz w:val="18"/>
                <w:szCs w:val="18"/>
              </w:rPr>
              <w:t>A.4.4.</w:t>
            </w:r>
            <w:r w:rsidRPr="007843E6">
              <w:rPr>
                <w:rFonts w:ascii="Times New Roman" w:hAnsi="Times New Roman" w:cs="Times New Roman"/>
                <w:sz w:val="18"/>
                <w:szCs w:val="18"/>
              </w:rPr>
              <w:t xml:space="preserve"> Uluslararasılaşma perfomansının izlenmesi ve iyileştirilmesi</w:t>
            </w:r>
          </w:p>
        </w:tc>
        <w:tc>
          <w:tcPr>
            <w:tcW w:w="4278" w:type="dxa"/>
            <w:tcBorders>
              <w:bottom w:val="single" w:sz="12" w:space="0" w:color="auto"/>
            </w:tcBorders>
            <w:shd w:val="clear" w:color="auto" w:fill="DEEAF6" w:themeFill="accent5" w:themeFillTint="33"/>
            <w:vAlign w:val="center"/>
          </w:tcPr>
          <w:p w14:paraId="3891F8AD" w14:textId="6251CE72"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Kurumda uluslararasılaşma hedefleri doğrultusunda çalışma yapan birimlerin uluslararasılaşma performansı izlenerek değerlendirilmekte ve karar alma süreçlerinde kullanılmaktadır. Buna ilişkin uygulamalar düzenli olarak izlenmekte ve izlem sonuçları paydaşlarla birlikte değerlendirilerek önlemler alınmaktadır.</w:t>
            </w:r>
          </w:p>
        </w:tc>
        <w:tc>
          <w:tcPr>
            <w:tcW w:w="708" w:type="dxa"/>
            <w:tcBorders>
              <w:bottom w:val="single" w:sz="12" w:space="0" w:color="auto"/>
            </w:tcBorders>
            <w:shd w:val="clear" w:color="auto" w:fill="DEEAF6" w:themeFill="accent5" w:themeFillTint="33"/>
            <w:vAlign w:val="center"/>
          </w:tcPr>
          <w:p w14:paraId="52FDE761" w14:textId="6C2F201C"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BDD6EE" w:themeFill="accent5" w:themeFillTint="66"/>
            <w:vAlign w:val="center"/>
          </w:tcPr>
          <w:p w14:paraId="2D9F4F96" w14:textId="77777777" w:rsidR="005840BF" w:rsidRDefault="00244BD0" w:rsidP="00B47B7A">
            <w:pPr>
              <w:jc w:val="both"/>
              <w:rPr>
                <w:rFonts w:ascii="Times New Roman" w:hAnsi="Times New Roman" w:cs="Times New Roman"/>
                <w:sz w:val="20"/>
                <w:szCs w:val="20"/>
              </w:rPr>
            </w:pPr>
            <w:r w:rsidRPr="00B82F82">
              <w:rPr>
                <w:rFonts w:ascii="Times New Roman" w:hAnsi="Times New Roman" w:cs="Times New Roman"/>
                <w:b/>
                <w:bCs/>
                <w:sz w:val="20"/>
                <w:szCs w:val="20"/>
              </w:rPr>
              <w:t>A.4.4.</w:t>
            </w:r>
            <w:r w:rsidRPr="00B82F82">
              <w:rPr>
                <w:rFonts w:ascii="Times New Roman" w:hAnsi="Times New Roman" w:cs="Times New Roman"/>
                <w:sz w:val="20"/>
                <w:szCs w:val="20"/>
              </w:rPr>
              <w:t xml:space="preserve"> </w:t>
            </w:r>
          </w:p>
          <w:p w14:paraId="28CF61BF" w14:textId="175EDF0A" w:rsidR="00B47B7A" w:rsidRPr="00B82F82" w:rsidRDefault="00244BD0" w:rsidP="00B47B7A">
            <w:pPr>
              <w:jc w:val="both"/>
              <w:rPr>
                <w:rFonts w:ascii="Times New Roman" w:hAnsi="Times New Roman" w:cs="Times New Roman"/>
                <w:sz w:val="20"/>
                <w:szCs w:val="20"/>
              </w:rPr>
            </w:pPr>
            <w:r w:rsidRPr="00B82F82">
              <w:rPr>
                <w:rFonts w:ascii="Times New Roman" w:hAnsi="Times New Roman" w:cs="Times New Roman"/>
                <w:sz w:val="20"/>
                <w:szCs w:val="20"/>
              </w:rPr>
              <w:t>Uluslararasılaşma performansı</w:t>
            </w:r>
          </w:p>
        </w:tc>
        <w:tc>
          <w:tcPr>
            <w:tcW w:w="4961" w:type="dxa"/>
            <w:tcBorders>
              <w:bottom w:val="single" w:sz="12" w:space="0" w:color="auto"/>
            </w:tcBorders>
            <w:shd w:val="clear" w:color="auto" w:fill="BDD6EE" w:themeFill="accent5" w:themeFillTint="66"/>
            <w:vAlign w:val="center"/>
          </w:tcPr>
          <w:p w14:paraId="71A2489B" w14:textId="606F4C4F"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Kurumda uluslararasılaşma faaliyetleri izlenmekte ve iyileştirilmektedir.</w:t>
            </w:r>
          </w:p>
        </w:tc>
        <w:tc>
          <w:tcPr>
            <w:tcW w:w="709" w:type="dxa"/>
            <w:tcBorders>
              <w:bottom w:val="single" w:sz="12" w:space="0" w:color="auto"/>
              <w:right w:val="single" w:sz="12" w:space="0" w:color="auto"/>
            </w:tcBorders>
            <w:shd w:val="clear" w:color="auto" w:fill="BDD6EE" w:themeFill="accent5" w:themeFillTint="66"/>
            <w:vAlign w:val="center"/>
          </w:tcPr>
          <w:p w14:paraId="79C85060" w14:textId="147525FB" w:rsidR="00B47B7A" w:rsidRPr="003E232B" w:rsidRDefault="00B47B7A" w:rsidP="00B47B7A">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B47B7A" w:rsidRPr="007843E6" w14:paraId="38F03AD3" w14:textId="77777777" w:rsidTr="00C70740">
        <w:trPr>
          <w:trHeight w:val="1406"/>
        </w:trPr>
        <w:tc>
          <w:tcPr>
            <w:tcW w:w="993" w:type="dxa"/>
            <w:vMerge w:val="restart"/>
            <w:tcBorders>
              <w:top w:val="single" w:sz="12" w:space="0" w:color="auto"/>
              <w:left w:val="single" w:sz="12" w:space="0" w:color="auto"/>
            </w:tcBorders>
            <w:shd w:val="clear" w:color="auto" w:fill="C5E0B3" w:themeFill="accent6" w:themeFillTint="66"/>
            <w:textDirection w:val="btLr"/>
            <w:vAlign w:val="center"/>
          </w:tcPr>
          <w:p w14:paraId="11FA1307"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B.1. </w:t>
            </w:r>
          </w:p>
          <w:p w14:paraId="6052FF5D" w14:textId="40AB982F" w:rsidR="00B47B7A" w:rsidRPr="00C70740" w:rsidRDefault="00B47B7A" w:rsidP="00C70740">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Programların Tasarımı ve Onayı</w:t>
            </w:r>
          </w:p>
        </w:tc>
        <w:tc>
          <w:tcPr>
            <w:tcW w:w="1963" w:type="dxa"/>
            <w:tcBorders>
              <w:top w:val="single" w:sz="12" w:space="0" w:color="auto"/>
            </w:tcBorders>
            <w:shd w:val="clear" w:color="auto" w:fill="E2EFD9" w:themeFill="accent6" w:themeFillTint="33"/>
            <w:vAlign w:val="center"/>
          </w:tcPr>
          <w:p w14:paraId="1BBDCBA1" w14:textId="77777777" w:rsidR="00B47B7A" w:rsidRPr="00263D88" w:rsidRDefault="00B47B7A" w:rsidP="00B47B7A">
            <w:pPr>
              <w:rPr>
                <w:rFonts w:ascii="Times New Roman" w:hAnsi="Times New Roman" w:cs="Times New Roman"/>
                <w:b/>
                <w:bCs/>
                <w:sz w:val="18"/>
                <w:szCs w:val="18"/>
              </w:rPr>
            </w:pPr>
            <w:r w:rsidRPr="00263D88">
              <w:rPr>
                <w:rFonts w:ascii="Times New Roman" w:hAnsi="Times New Roman" w:cs="Times New Roman"/>
                <w:b/>
                <w:bCs/>
                <w:sz w:val="18"/>
                <w:szCs w:val="18"/>
              </w:rPr>
              <w:t>B.1.1.</w:t>
            </w:r>
          </w:p>
          <w:p w14:paraId="35146323" w14:textId="5B39AAA4"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Programların tasarımı ve onayı</w:t>
            </w:r>
          </w:p>
        </w:tc>
        <w:tc>
          <w:tcPr>
            <w:tcW w:w="4278" w:type="dxa"/>
            <w:tcBorders>
              <w:top w:val="single" w:sz="12" w:space="0" w:color="auto"/>
            </w:tcBorders>
            <w:shd w:val="clear" w:color="auto" w:fill="E2EFD9" w:themeFill="accent6" w:themeFillTint="33"/>
            <w:vAlign w:val="center"/>
          </w:tcPr>
          <w:p w14:paraId="6A2BF8D9" w14:textId="54C7ACA6" w:rsidR="00B47B7A" w:rsidRPr="007843E6" w:rsidRDefault="009A43EF" w:rsidP="00B47B7A">
            <w:pPr>
              <w:jc w:val="both"/>
              <w:rPr>
                <w:rFonts w:ascii="Times New Roman" w:hAnsi="Times New Roman" w:cs="Times New Roman"/>
                <w:sz w:val="18"/>
                <w:szCs w:val="18"/>
              </w:rPr>
            </w:pPr>
            <w:r w:rsidRPr="009A43EF">
              <w:rPr>
                <w:rFonts w:ascii="Times New Roman" w:hAnsi="Times New Roman" w:cs="Times New Roman"/>
                <w:sz w:val="18"/>
                <w:szCs w:val="18"/>
              </w:rPr>
              <w:t>Paydaşların katılımıyla programların tasarımı ve onayına ilişkin uygulamalar sistematik olarak izlenmekte ve paydaşlarla birlikte değerlendirilerek önlemler alınmaktadır.</w:t>
            </w:r>
          </w:p>
        </w:tc>
        <w:tc>
          <w:tcPr>
            <w:tcW w:w="708" w:type="dxa"/>
            <w:tcBorders>
              <w:top w:val="single" w:sz="12" w:space="0" w:color="auto"/>
            </w:tcBorders>
            <w:shd w:val="clear" w:color="auto" w:fill="E2EFD9" w:themeFill="accent6" w:themeFillTint="33"/>
            <w:vAlign w:val="center"/>
          </w:tcPr>
          <w:p w14:paraId="33F69372" w14:textId="3A144862"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C5E0B3" w:themeFill="accent6" w:themeFillTint="66"/>
            <w:vAlign w:val="center"/>
          </w:tcPr>
          <w:p w14:paraId="07B3C42F" w14:textId="77777777" w:rsidR="00F97C6F" w:rsidRPr="00F97C6F" w:rsidRDefault="00F97C6F" w:rsidP="00F97C6F">
            <w:pPr>
              <w:jc w:val="both"/>
              <w:rPr>
                <w:rFonts w:ascii="Times New Roman" w:hAnsi="Times New Roman" w:cs="Times New Roman"/>
                <w:b/>
                <w:bCs/>
                <w:sz w:val="20"/>
                <w:szCs w:val="20"/>
              </w:rPr>
            </w:pPr>
            <w:r w:rsidRPr="00F97C6F">
              <w:rPr>
                <w:rFonts w:ascii="Times New Roman" w:hAnsi="Times New Roman" w:cs="Times New Roman"/>
                <w:b/>
                <w:bCs/>
                <w:sz w:val="20"/>
                <w:szCs w:val="20"/>
              </w:rPr>
              <w:t>B.1.1.</w:t>
            </w:r>
          </w:p>
          <w:p w14:paraId="20E69649" w14:textId="1679FFF7" w:rsidR="00B47B7A" w:rsidRPr="00B82F82" w:rsidRDefault="00F97C6F" w:rsidP="00F97C6F">
            <w:pPr>
              <w:jc w:val="both"/>
              <w:rPr>
                <w:rFonts w:ascii="Times New Roman" w:hAnsi="Times New Roman" w:cs="Times New Roman"/>
                <w:sz w:val="20"/>
                <w:szCs w:val="20"/>
              </w:rPr>
            </w:pPr>
            <w:r w:rsidRPr="00B82F82">
              <w:rPr>
                <w:rFonts w:ascii="Times New Roman" w:hAnsi="Times New Roman" w:cs="Times New Roman"/>
                <w:sz w:val="20"/>
                <w:szCs w:val="20"/>
              </w:rPr>
              <w:t>Programların tasarımı ve onayı</w:t>
            </w:r>
          </w:p>
        </w:tc>
        <w:tc>
          <w:tcPr>
            <w:tcW w:w="4961" w:type="dxa"/>
            <w:tcBorders>
              <w:top w:val="single" w:sz="12" w:space="0" w:color="auto"/>
            </w:tcBorders>
            <w:shd w:val="clear" w:color="auto" w:fill="C5E0B3" w:themeFill="accent6" w:themeFillTint="66"/>
            <w:vAlign w:val="center"/>
          </w:tcPr>
          <w:p w14:paraId="1583447F" w14:textId="557B5D78" w:rsidR="00B47B7A" w:rsidRPr="00B82F82" w:rsidRDefault="00B47B7A" w:rsidP="00B47B7A">
            <w:pPr>
              <w:jc w:val="both"/>
              <w:rPr>
                <w:rFonts w:ascii="Times New Roman" w:hAnsi="Times New Roman" w:cs="Times New Roman"/>
                <w:sz w:val="20"/>
                <w:szCs w:val="20"/>
              </w:rPr>
            </w:pPr>
            <w:r w:rsidRPr="00B82F82">
              <w:rPr>
                <w:rFonts w:ascii="Times New Roman" w:hAnsi="Times New Roman" w:cs="Times New Roman"/>
                <w:sz w:val="20"/>
                <w:szCs w:val="20"/>
              </w:rPr>
              <w:t>Tanımlı süreçler doğrultusunda; Kurumun genelinde, tasarımı ve onayı gerçekleşen programlar, programların amaç ve öğrenme çıktılarına uygun olarak yürütülmektedir.</w:t>
            </w:r>
          </w:p>
        </w:tc>
        <w:tc>
          <w:tcPr>
            <w:tcW w:w="709" w:type="dxa"/>
            <w:tcBorders>
              <w:top w:val="single" w:sz="12" w:space="0" w:color="auto"/>
              <w:right w:val="single" w:sz="12" w:space="0" w:color="auto"/>
            </w:tcBorders>
            <w:shd w:val="clear" w:color="auto" w:fill="C5E0B3" w:themeFill="accent6" w:themeFillTint="66"/>
            <w:vAlign w:val="center"/>
          </w:tcPr>
          <w:p w14:paraId="67E78BEF" w14:textId="46B17084" w:rsidR="00B47B7A" w:rsidRPr="003E232B" w:rsidRDefault="00B47B7A" w:rsidP="00B47B7A">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B47B7A" w:rsidRPr="007843E6" w14:paraId="1A9BBDA0" w14:textId="77777777" w:rsidTr="00C70740">
        <w:trPr>
          <w:trHeight w:val="1270"/>
        </w:trPr>
        <w:tc>
          <w:tcPr>
            <w:tcW w:w="993" w:type="dxa"/>
            <w:vMerge/>
            <w:tcBorders>
              <w:left w:val="single" w:sz="12" w:space="0" w:color="auto"/>
            </w:tcBorders>
            <w:shd w:val="clear" w:color="auto" w:fill="C5E0B3" w:themeFill="accent6" w:themeFillTint="66"/>
            <w:textDirection w:val="btLr"/>
            <w:vAlign w:val="center"/>
          </w:tcPr>
          <w:p w14:paraId="1A669EB5"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3B2CBE39" w14:textId="77777777" w:rsidR="00B47B7A" w:rsidRPr="00263D88" w:rsidRDefault="00B47B7A" w:rsidP="00B47B7A">
            <w:pPr>
              <w:rPr>
                <w:rFonts w:ascii="Times New Roman" w:hAnsi="Times New Roman" w:cs="Times New Roman"/>
                <w:b/>
                <w:bCs/>
                <w:sz w:val="18"/>
                <w:szCs w:val="18"/>
              </w:rPr>
            </w:pPr>
            <w:r w:rsidRPr="00263D88">
              <w:rPr>
                <w:rFonts w:ascii="Times New Roman" w:hAnsi="Times New Roman" w:cs="Times New Roman"/>
                <w:b/>
                <w:bCs/>
                <w:sz w:val="18"/>
                <w:szCs w:val="18"/>
              </w:rPr>
              <w:t xml:space="preserve">B.1.2. </w:t>
            </w:r>
          </w:p>
          <w:p w14:paraId="730D72D0" w14:textId="5FD9A21B"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Program amaçları, çıktıları ve programın TYYÇ uyumu</w:t>
            </w:r>
          </w:p>
        </w:tc>
        <w:tc>
          <w:tcPr>
            <w:tcW w:w="4278" w:type="dxa"/>
            <w:shd w:val="clear" w:color="auto" w:fill="E2EFD9" w:themeFill="accent6" w:themeFillTint="33"/>
            <w:vAlign w:val="center"/>
          </w:tcPr>
          <w:p w14:paraId="65FA7E4F" w14:textId="5A964A7C"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Tüm programların amaçları, çıktıları ve bunların TYYÇ uyumuna ilişkin tüm alanları kapsayan uygulamalar, sistematik olarak izlenmekte ve paydaşlarla birlikte değerlendirilerek önlemler alınmaktadır.</w:t>
            </w:r>
          </w:p>
        </w:tc>
        <w:tc>
          <w:tcPr>
            <w:tcW w:w="708" w:type="dxa"/>
            <w:shd w:val="clear" w:color="auto" w:fill="E2EFD9" w:themeFill="accent6" w:themeFillTint="33"/>
            <w:vAlign w:val="center"/>
          </w:tcPr>
          <w:p w14:paraId="55CC9A81" w14:textId="52B44DAA"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736B66C9" w14:textId="5BEAB0A9" w:rsidR="00B47B7A" w:rsidRPr="00B82F82" w:rsidRDefault="00B47B7A" w:rsidP="004C24DE">
            <w:pPr>
              <w:rPr>
                <w:rFonts w:ascii="Times New Roman" w:hAnsi="Times New Roman" w:cs="Times New Roman"/>
                <w:sz w:val="20"/>
                <w:szCs w:val="20"/>
              </w:rPr>
            </w:pPr>
          </w:p>
        </w:tc>
        <w:tc>
          <w:tcPr>
            <w:tcW w:w="4961" w:type="dxa"/>
            <w:shd w:val="clear" w:color="auto" w:fill="C5E0B3" w:themeFill="accent6" w:themeFillTint="66"/>
            <w:vAlign w:val="center"/>
          </w:tcPr>
          <w:p w14:paraId="25501FBB" w14:textId="2B9D3293" w:rsidR="00B47B7A" w:rsidRPr="00B82F82" w:rsidRDefault="005840BF" w:rsidP="00B47B7A">
            <w:pPr>
              <w:jc w:val="both"/>
              <w:rPr>
                <w:rFonts w:ascii="Times New Roman" w:hAnsi="Times New Roman" w:cs="Times New Roman"/>
                <w:sz w:val="20"/>
                <w:szCs w:val="20"/>
              </w:rPr>
            </w:pPr>
            <w:r>
              <w:rPr>
                <w:rFonts w:ascii="Times New Roman" w:hAnsi="Times New Roman" w:cs="Times New Roman"/>
                <w:sz w:val="20"/>
                <w:szCs w:val="20"/>
              </w:rPr>
              <w:t>Bu alt ölçüt yeni kılavuzda (KİDR_sürüm_2.1) yer almamaktadır.</w:t>
            </w:r>
          </w:p>
        </w:tc>
        <w:tc>
          <w:tcPr>
            <w:tcW w:w="709" w:type="dxa"/>
            <w:tcBorders>
              <w:right w:val="single" w:sz="12" w:space="0" w:color="auto"/>
            </w:tcBorders>
            <w:shd w:val="clear" w:color="auto" w:fill="C5E0B3" w:themeFill="accent6" w:themeFillTint="66"/>
            <w:vAlign w:val="center"/>
          </w:tcPr>
          <w:p w14:paraId="0DDE0CBF" w14:textId="0F16170A" w:rsidR="00B47B7A" w:rsidRPr="003E232B" w:rsidRDefault="00B47B7A" w:rsidP="00B47B7A">
            <w:pPr>
              <w:jc w:val="center"/>
              <w:rPr>
                <w:rFonts w:ascii="Times New Roman" w:hAnsi="Times New Roman" w:cs="Times New Roman"/>
                <w:b/>
                <w:bCs/>
                <w:sz w:val="24"/>
                <w:szCs w:val="24"/>
              </w:rPr>
            </w:pPr>
          </w:p>
        </w:tc>
      </w:tr>
      <w:tr w:rsidR="00B47B7A" w:rsidRPr="007843E6" w14:paraId="6EE3A142" w14:textId="77777777" w:rsidTr="00C70740">
        <w:tc>
          <w:tcPr>
            <w:tcW w:w="993" w:type="dxa"/>
            <w:vMerge/>
            <w:tcBorders>
              <w:left w:val="single" w:sz="12" w:space="0" w:color="auto"/>
            </w:tcBorders>
            <w:shd w:val="clear" w:color="auto" w:fill="C5E0B3" w:themeFill="accent6" w:themeFillTint="66"/>
            <w:textDirection w:val="btLr"/>
            <w:vAlign w:val="center"/>
          </w:tcPr>
          <w:p w14:paraId="427BCE12" w14:textId="77777777" w:rsidR="00B47B7A" w:rsidRPr="00C70740" w:rsidRDefault="00B47B7A" w:rsidP="00C70740">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4C985317" w14:textId="77777777" w:rsidR="00B47B7A" w:rsidRPr="00263D88" w:rsidRDefault="00B47B7A" w:rsidP="00B47B7A">
            <w:pPr>
              <w:rPr>
                <w:rFonts w:ascii="Times New Roman" w:hAnsi="Times New Roman" w:cs="Times New Roman"/>
                <w:b/>
                <w:bCs/>
                <w:sz w:val="18"/>
                <w:szCs w:val="18"/>
              </w:rPr>
            </w:pPr>
            <w:r w:rsidRPr="00263D88">
              <w:rPr>
                <w:rFonts w:ascii="Times New Roman" w:hAnsi="Times New Roman" w:cs="Times New Roman"/>
                <w:b/>
                <w:bCs/>
                <w:sz w:val="18"/>
                <w:szCs w:val="18"/>
              </w:rPr>
              <w:t xml:space="preserve">B.1.3. </w:t>
            </w:r>
          </w:p>
          <w:p w14:paraId="63C66C7A" w14:textId="0847FBEC" w:rsidR="00B47B7A" w:rsidRPr="007843E6" w:rsidRDefault="00B47B7A" w:rsidP="00B47B7A">
            <w:pPr>
              <w:rPr>
                <w:rFonts w:ascii="Times New Roman" w:hAnsi="Times New Roman" w:cs="Times New Roman"/>
                <w:sz w:val="18"/>
                <w:szCs w:val="18"/>
              </w:rPr>
            </w:pPr>
            <w:r w:rsidRPr="007843E6">
              <w:rPr>
                <w:rFonts w:ascii="Times New Roman" w:hAnsi="Times New Roman" w:cs="Times New Roman"/>
                <w:sz w:val="18"/>
                <w:szCs w:val="18"/>
              </w:rPr>
              <w:t>Ders kazanımlarının program çıktıları ile eşleştirilmesi</w:t>
            </w:r>
          </w:p>
        </w:tc>
        <w:tc>
          <w:tcPr>
            <w:tcW w:w="4278" w:type="dxa"/>
            <w:shd w:val="clear" w:color="auto" w:fill="E2EFD9" w:themeFill="accent6" w:themeFillTint="33"/>
            <w:vAlign w:val="center"/>
          </w:tcPr>
          <w:p w14:paraId="4E3C7DDA" w14:textId="30F2BE59" w:rsidR="00B47B7A" w:rsidRPr="007843E6" w:rsidRDefault="00B47B7A" w:rsidP="00B47B7A">
            <w:pPr>
              <w:jc w:val="both"/>
              <w:rPr>
                <w:rFonts w:ascii="Times New Roman" w:hAnsi="Times New Roman" w:cs="Times New Roman"/>
                <w:sz w:val="18"/>
                <w:szCs w:val="18"/>
              </w:rPr>
            </w:pPr>
            <w:r w:rsidRPr="007843E6">
              <w:rPr>
                <w:rFonts w:ascii="Times New Roman" w:hAnsi="Times New Roman" w:cs="Times New Roman"/>
                <w:sz w:val="18"/>
                <w:szCs w:val="18"/>
              </w:rPr>
              <w:t>Tüm programların ders kazanımları ile program çıktıları eşleştirilmesine ilişkin tüm alanları kapsayan uygulamalar, sistematik olarak ve kurumun iç kalite güvencesi sistemiyle uyumlu olarak izlenmekte ve izlem sonuçları paydaşlarla birlikte değerlendirilerek önlem alınmaktadır.</w:t>
            </w:r>
          </w:p>
        </w:tc>
        <w:tc>
          <w:tcPr>
            <w:tcW w:w="708" w:type="dxa"/>
            <w:shd w:val="clear" w:color="auto" w:fill="E2EFD9" w:themeFill="accent6" w:themeFillTint="33"/>
            <w:vAlign w:val="center"/>
          </w:tcPr>
          <w:p w14:paraId="01B505DE" w14:textId="6B7D3BA3" w:rsidR="00B47B7A" w:rsidRPr="007302E5" w:rsidRDefault="00B47B7A" w:rsidP="00B47B7A">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6BB516E7" w14:textId="77777777" w:rsidR="00B47B7A" w:rsidRPr="00B82F82" w:rsidRDefault="00B47B7A" w:rsidP="00B47B7A">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B.1.3. </w:t>
            </w:r>
          </w:p>
          <w:p w14:paraId="61E40D82" w14:textId="373E4A4C" w:rsidR="00B47B7A" w:rsidRPr="00B82F82" w:rsidRDefault="00B47B7A" w:rsidP="004C24DE">
            <w:pPr>
              <w:rPr>
                <w:rFonts w:ascii="Times New Roman" w:hAnsi="Times New Roman" w:cs="Times New Roman"/>
                <w:sz w:val="20"/>
                <w:szCs w:val="20"/>
              </w:rPr>
            </w:pPr>
            <w:r w:rsidRPr="00B82F82">
              <w:rPr>
                <w:rFonts w:ascii="Times New Roman" w:hAnsi="Times New Roman" w:cs="Times New Roman"/>
                <w:sz w:val="20"/>
                <w:szCs w:val="20"/>
              </w:rPr>
              <w:t>Ders kazanımlarının program çıktılarıyla uyumu</w:t>
            </w:r>
          </w:p>
        </w:tc>
        <w:tc>
          <w:tcPr>
            <w:tcW w:w="4961" w:type="dxa"/>
            <w:shd w:val="clear" w:color="auto" w:fill="C5E0B3" w:themeFill="accent6" w:themeFillTint="66"/>
            <w:vAlign w:val="center"/>
          </w:tcPr>
          <w:p w14:paraId="18AEB7D2" w14:textId="2964E6DC" w:rsidR="00B47B7A" w:rsidRPr="00B82F82" w:rsidRDefault="00902B43" w:rsidP="00B47B7A">
            <w:pPr>
              <w:jc w:val="both"/>
              <w:rPr>
                <w:rFonts w:ascii="Times New Roman" w:hAnsi="Times New Roman" w:cs="Times New Roman"/>
                <w:sz w:val="20"/>
                <w:szCs w:val="20"/>
              </w:rPr>
            </w:pPr>
            <w:r w:rsidRPr="00B82F82">
              <w:rPr>
                <w:rFonts w:ascii="Times New Roman" w:hAnsi="Times New Roman" w:cs="Times New Roman"/>
                <w:sz w:val="20"/>
                <w:szCs w:val="20"/>
              </w:rPr>
              <w:t>Ders kazanımları programların genelinde program çıktılarıyla uyumlandırılmıştır ve ders bilgi paketleri ile paylaşılmaktadır.</w:t>
            </w:r>
          </w:p>
        </w:tc>
        <w:tc>
          <w:tcPr>
            <w:tcW w:w="709" w:type="dxa"/>
            <w:tcBorders>
              <w:right w:val="single" w:sz="12" w:space="0" w:color="auto"/>
            </w:tcBorders>
            <w:shd w:val="clear" w:color="auto" w:fill="C5E0B3" w:themeFill="accent6" w:themeFillTint="66"/>
            <w:vAlign w:val="center"/>
          </w:tcPr>
          <w:p w14:paraId="01CEA02D" w14:textId="1D3C9F32" w:rsidR="00B47B7A" w:rsidRPr="003E232B" w:rsidRDefault="00B47B7A" w:rsidP="00B47B7A">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515C7352" w14:textId="77777777" w:rsidTr="00C70740">
        <w:trPr>
          <w:trHeight w:val="2709"/>
        </w:trPr>
        <w:tc>
          <w:tcPr>
            <w:tcW w:w="993" w:type="dxa"/>
            <w:vMerge/>
            <w:tcBorders>
              <w:left w:val="single" w:sz="12" w:space="0" w:color="auto"/>
            </w:tcBorders>
            <w:shd w:val="clear" w:color="auto" w:fill="C5E0B3" w:themeFill="accent6" w:themeFillTint="66"/>
            <w:textDirection w:val="btLr"/>
            <w:vAlign w:val="center"/>
          </w:tcPr>
          <w:p w14:paraId="08F10AA4"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36534DAE"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B.1.4. </w:t>
            </w:r>
          </w:p>
          <w:p w14:paraId="2DAE42B0" w14:textId="44601D5D"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Programın yapısı ve ders dağılım dengesi (Zorunlu-seçmeli ders dağılım dengesi; alan ve meslek bilgisi ile genel kültür dersleri dengesi, kültürel derinlik kazanma, farklı disiplinleri tanıma imkânları)</w:t>
            </w:r>
          </w:p>
        </w:tc>
        <w:tc>
          <w:tcPr>
            <w:tcW w:w="4278" w:type="dxa"/>
            <w:shd w:val="clear" w:color="auto" w:fill="E2EFD9" w:themeFill="accent6" w:themeFillTint="33"/>
            <w:vAlign w:val="center"/>
          </w:tcPr>
          <w:p w14:paraId="11411F19" w14:textId="1B3ABFAF"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Program yapısı ve dengesine ilişkin uygulamalar tüm programlarda, sistematik olarak izlenmekte ve izlem sonuçları paydaşlarla birlikte değerlendirilerek önlem alınmakta ve sürekli olarak güncellenmektedir.</w:t>
            </w:r>
          </w:p>
        </w:tc>
        <w:tc>
          <w:tcPr>
            <w:tcW w:w="708" w:type="dxa"/>
            <w:shd w:val="clear" w:color="auto" w:fill="E2EFD9" w:themeFill="accent6" w:themeFillTint="33"/>
            <w:vAlign w:val="center"/>
          </w:tcPr>
          <w:p w14:paraId="0A52CEAA" w14:textId="37D85C44"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67F2F3F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B.1.2. </w:t>
            </w:r>
          </w:p>
          <w:p w14:paraId="2FF3A9C3" w14:textId="6E856F3E"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Programın ders dağılım dengesi</w:t>
            </w:r>
          </w:p>
        </w:tc>
        <w:tc>
          <w:tcPr>
            <w:tcW w:w="4961" w:type="dxa"/>
            <w:shd w:val="clear" w:color="auto" w:fill="C5E0B3" w:themeFill="accent6" w:themeFillTint="66"/>
            <w:vAlign w:val="center"/>
          </w:tcPr>
          <w:p w14:paraId="25CEF54C" w14:textId="10097FAF"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Programların genelinde ders bilgi paketleri, tanımlı süreçler doğrultusunda hazırlanmış ve ilan edilmiştir.</w:t>
            </w:r>
          </w:p>
        </w:tc>
        <w:tc>
          <w:tcPr>
            <w:tcW w:w="709" w:type="dxa"/>
            <w:tcBorders>
              <w:right w:val="single" w:sz="12" w:space="0" w:color="auto"/>
            </w:tcBorders>
            <w:shd w:val="clear" w:color="auto" w:fill="C5E0B3" w:themeFill="accent6" w:themeFillTint="66"/>
            <w:vAlign w:val="center"/>
          </w:tcPr>
          <w:p w14:paraId="0FA53E87" w14:textId="57740E40"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105376C4" w14:textId="77777777" w:rsidTr="00C70740">
        <w:tc>
          <w:tcPr>
            <w:tcW w:w="993" w:type="dxa"/>
            <w:vMerge/>
            <w:tcBorders>
              <w:left w:val="single" w:sz="12" w:space="0" w:color="auto"/>
            </w:tcBorders>
            <w:shd w:val="clear" w:color="auto" w:fill="C5E0B3" w:themeFill="accent6" w:themeFillTint="66"/>
            <w:textDirection w:val="btLr"/>
            <w:vAlign w:val="center"/>
          </w:tcPr>
          <w:p w14:paraId="6FFA4D6D"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692F5088"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B.1.5. </w:t>
            </w:r>
          </w:p>
          <w:p w14:paraId="62C0E60E" w14:textId="6E2DAC13"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Öğrenci iş yüküne dayalı tasarım</w:t>
            </w:r>
          </w:p>
        </w:tc>
        <w:tc>
          <w:tcPr>
            <w:tcW w:w="4278" w:type="dxa"/>
            <w:shd w:val="clear" w:color="auto" w:fill="E2EFD9" w:themeFill="accent6" w:themeFillTint="33"/>
            <w:vAlign w:val="center"/>
          </w:tcPr>
          <w:p w14:paraId="1D469C0D" w14:textId="0A02C9A0"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programlarda uygulanan öğrenci iş yükü uygulaması, sistematik olarak izlenmekte ve izlem sonuçları paydaşlarla birlikte değerlendirilerek önlemler alınmaktadır.</w:t>
            </w:r>
          </w:p>
        </w:tc>
        <w:tc>
          <w:tcPr>
            <w:tcW w:w="708" w:type="dxa"/>
            <w:shd w:val="clear" w:color="auto" w:fill="E2EFD9" w:themeFill="accent6" w:themeFillTint="33"/>
            <w:vAlign w:val="center"/>
          </w:tcPr>
          <w:p w14:paraId="38DD66F4" w14:textId="27FDB60D"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4B43E9A6"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B.1.4. </w:t>
            </w:r>
          </w:p>
          <w:p w14:paraId="56F139BF" w14:textId="07675D93"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Öğrenci iş yüküne dayalı ders tasarımı</w:t>
            </w:r>
          </w:p>
        </w:tc>
        <w:tc>
          <w:tcPr>
            <w:tcW w:w="4961" w:type="dxa"/>
            <w:shd w:val="clear" w:color="auto" w:fill="C5E0B3" w:themeFill="accent6" w:themeFillTint="66"/>
            <w:vAlign w:val="center"/>
          </w:tcPr>
          <w:p w14:paraId="20C37C61" w14:textId="1FC36B11"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Dersler öğrenci iş yüküne uygun olarak tasarlanmış, ilan edilmiş ve uygulamaya konulmuştur.</w:t>
            </w:r>
          </w:p>
        </w:tc>
        <w:tc>
          <w:tcPr>
            <w:tcW w:w="709" w:type="dxa"/>
            <w:tcBorders>
              <w:right w:val="single" w:sz="12" w:space="0" w:color="auto"/>
            </w:tcBorders>
            <w:shd w:val="clear" w:color="auto" w:fill="C5E0B3" w:themeFill="accent6" w:themeFillTint="66"/>
            <w:vAlign w:val="center"/>
          </w:tcPr>
          <w:p w14:paraId="068751A2" w14:textId="2110E239"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348F4F78" w14:textId="77777777" w:rsidTr="00C70740">
        <w:tc>
          <w:tcPr>
            <w:tcW w:w="993" w:type="dxa"/>
            <w:vMerge/>
            <w:tcBorders>
              <w:left w:val="single" w:sz="12" w:space="0" w:color="auto"/>
              <w:bottom w:val="single" w:sz="12" w:space="0" w:color="auto"/>
            </w:tcBorders>
            <w:shd w:val="clear" w:color="auto" w:fill="C5E0B3" w:themeFill="accent6" w:themeFillTint="66"/>
            <w:textDirection w:val="btLr"/>
            <w:vAlign w:val="center"/>
          </w:tcPr>
          <w:p w14:paraId="79215C98"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E2EFD9" w:themeFill="accent6" w:themeFillTint="33"/>
            <w:vAlign w:val="center"/>
          </w:tcPr>
          <w:p w14:paraId="32A6B7BE"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B.1.6. </w:t>
            </w:r>
          </w:p>
          <w:p w14:paraId="6CFFF88B" w14:textId="418551FA"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Ölçme ve değerlendirme</w:t>
            </w:r>
          </w:p>
        </w:tc>
        <w:tc>
          <w:tcPr>
            <w:tcW w:w="4278" w:type="dxa"/>
            <w:tcBorders>
              <w:bottom w:val="single" w:sz="12" w:space="0" w:color="auto"/>
            </w:tcBorders>
            <w:shd w:val="clear" w:color="auto" w:fill="E2EFD9" w:themeFill="accent6" w:themeFillTint="33"/>
            <w:vAlign w:val="center"/>
          </w:tcPr>
          <w:p w14:paraId="32EEE74E" w14:textId="351AD68C"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programlarda tasarlanan ölçme ve değerlendirme sistemine ilişkin uygulamalardan elde edilen bulgular sistematik olarak izlenmekte ve izlem sonuçları paydaşlarla birlikte değerlendirilerek önlemler alınmaktadır.</w:t>
            </w:r>
          </w:p>
        </w:tc>
        <w:tc>
          <w:tcPr>
            <w:tcW w:w="708" w:type="dxa"/>
            <w:tcBorders>
              <w:bottom w:val="single" w:sz="12" w:space="0" w:color="auto"/>
            </w:tcBorders>
            <w:shd w:val="clear" w:color="auto" w:fill="E2EFD9" w:themeFill="accent6" w:themeFillTint="33"/>
            <w:vAlign w:val="center"/>
          </w:tcPr>
          <w:p w14:paraId="122C6A17" w14:textId="61A5910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C5E0B3" w:themeFill="accent6" w:themeFillTint="66"/>
            <w:vAlign w:val="center"/>
          </w:tcPr>
          <w:p w14:paraId="3BDCE9EC"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B.1.5. </w:t>
            </w:r>
          </w:p>
          <w:p w14:paraId="054ED973" w14:textId="2506D0E4"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Ölçme ve değerlendirme sistemi</w:t>
            </w:r>
          </w:p>
        </w:tc>
        <w:tc>
          <w:tcPr>
            <w:tcW w:w="4961" w:type="dxa"/>
            <w:tcBorders>
              <w:bottom w:val="single" w:sz="12" w:space="0" w:color="auto"/>
            </w:tcBorders>
            <w:shd w:val="clear" w:color="auto" w:fill="C5E0B3" w:themeFill="accent6" w:themeFillTint="66"/>
            <w:vAlign w:val="center"/>
          </w:tcPr>
          <w:p w14:paraId="4CEEA429" w14:textId="11887041"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ölçme ve değerlendirme uygulamaları izlenmekte ve izlem sonuçlarına göre ölçme ve değerlendirme sisteminde iyileştirme yapılmaktadır.</w:t>
            </w:r>
          </w:p>
        </w:tc>
        <w:tc>
          <w:tcPr>
            <w:tcW w:w="709" w:type="dxa"/>
            <w:tcBorders>
              <w:bottom w:val="single" w:sz="12" w:space="0" w:color="auto"/>
              <w:right w:val="single" w:sz="12" w:space="0" w:color="auto"/>
            </w:tcBorders>
            <w:shd w:val="clear" w:color="auto" w:fill="C5E0B3" w:themeFill="accent6" w:themeFillTint="66"/>
            <w:vAlign w:val="center"/>
          </w:tcPr>
          <w:p w14:paraId="7A1C8E62" w14:textId="3A4734A5"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2E9BADC5" w14:textId="77777777" w:rsidTr="00C70740">
        <w:trPr>
          <w:trHeight w:val="2679"/>
        </w:trPr>
        <w:tc>
          <w:tcPr>
            <w:tcW w:w="993" w:type="dxa"/>
            <w:vMerge w:val="restart"/>
            <w:tcBorders>
              <w:top w:val="single" w:sz="12" w:space="0" w:color="auto"/>
              <w:left w:val="single" w:sz="12" w:space="0" w:color="auto"/>
            </w:tcBorders>
            <w:shd w:val="clear" w:color="auto" w:fill="C5E0B3" w:themeFill="accent6" w:themeFillTint="66"/>
            <w:textDirection w:val="btLr"/>
            <w:vAlign w:val="center"/>
          </w:tcPr>
          <w:p w14:paraId="62D56908"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B.2.</w:t>
            </w:r>
          </w:p>
          <w:p w14:paraId="27B4FD1F" w14:textId="41B89FC0"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 Öğrenci Kabulü ve Gelişimi</w:t>
            </w:r>
          </w:p>
        </w:tc>
        <w:tc>
          <w:tcPr>
            <w:tcW w:w="1963" w:type="dxa"/>
            <w:tcBorders>
              <w:top w:val="single" w:sz="12" w:space="0" w:color="auto"/>
            </w:tcBorders>
            <w:shd w:val="clear" w:color="auto" w:fill="E2EFD9" w:themeFill="accent6" w:themeFillTint="33"/>
            <w:vAlign w:val="center"/>
          </w:tcPr>
          <w:p w14:paraId="451EAB9E"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B.2.1. </w:t>
            </w:r>
          </w:p>
          <w:p w14:paraId="78E890D2" w14:textId="20324F73"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Öğrenci kabulü ve önceki öğrenmenin tanınması ve kredilendirilmesi (Örgün eğitim, yaygın eğitim ve serbest öğrenme yoluyla edinilen bilgi ve beceriler)</w:t>
            </w:r>
          </w:p>
        </w:tc>
        <w:tc>
          <w:tcPr>
            <w:tcW w:w="4278" w:type="dxa"/>
            <w:tcBorders>
              <w:top w:val="single" w:sz="12" w:space="0" w:color="auto"/>
            </w:tcBorders>
            <w:shd w:val="clear" w:color="auto" w:fill="E2EFD9" w:themeFill="accent6" w:themeFillTint="33"/>
            <w:vAlign w:val="center"/>
          </w:tcPr>
          <w:p w14:paraId="0D08CD84" w14:textId="60AC9044"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Öğrenci kabulü, önceki öğrenmenin tanınması ve kredilendirilmesine ilişkin uygulamalardan elde edilen bulgular, sistematik olarak izlenerek paydaşlarla birlikte değerlendirilmekte ve izlem sonuçlarına göre önlem alınmaktadır.</w:t>
            </w:r>
          </w:p>
        </w:tc>
        <w:tc>
          <w:tcPr>
            <w:tcW w:w="708" w:type="dxa"/>
            <w:tcBorders>
              <w:top w:val="single" w:sz="12" w:space="0" w:color="auto"/>
            </w:tcBorders>
            <w:shd w:val="clear" w:color="auto" w:fill="E2EFD9" w:themeFill="accent6" w:themeFillTint="33"/>
            <w:vAlign w:val="center"/>
          </w:tcPr>
          <w:p w14:paraId="25C0F2EF" w14:textId="57276691"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C5E0B3" w:themeFill="accent6" w:themeFillTint="66"/>
            <w:vAlign w:val="center"/>
          </w:tcPr>
          <w:p w14:paraId="5CBF3319"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B.2.1. </w:t>
            </w:r>
          </w:p>
          <w:p w14:paraId="2E8243CE" w14:textId="2E182CF6"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Öğrenci kabulü, önceki öğrenmenin tanınması ve kredilendirilmesi</w:t>
            </w:r>
          </w:p>
        </w:tc>
        <w:tc>
          <w:tcPr>
            <w:tcW w:w="4961" w:type="dxa"/>
            <w:tcBorders>
              <w:top w:val="single" w:sz="12" w:space="0" w:color="auto"/>
            </w:tcBorders>
            <w:shd w:val="clear" w:color="auto" w:fill="C5E0B3" w:themeFill="accent6" w:themeFillTint="66"/>
            <w:vAlign w:val="center"/>
          </w:tcPr>
          <w:p w14:paraId="76347437" w14:textId="0FAE2F3A" w:rsidR="00C1726B" w:rsidRPr="00B82F82" w:rsidRDefault="008A5995"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planlar dahilinde uygulamalar bulunmaktadır.</w:t>
            </w:r>
          </w:p>
        </w:tc>
        <w:tc>
          <w:tcPr>
            <w:tcW w:w="709" w:type="dxa"/>
            <w:tcBorders>
              <w:top w:val="single" w:sz="12" w:space="0" w:color="auto"/>
              <w:right w:val="single" w:sz="12" w:space="0" w:color="auto"/>
            </w:tcBorders>
            <w:shd w:val="clear" w:color="auto" w:fill="C5E0B3" w:themeFill="accent6" w:themeFillTint="66"/>
            <w:vAlign w:val="center"/>
          </w:tcPr>
          <w:p w14:paraId="555B676D" w14:textId="70819BE7"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2D99C509" w14:textId="77777777" w:rsidTr="00C70740">
        <w:trPr>
          <w:trHeight w:val="1554"/>
        </w:trPr>
        <w:tc>
          <w:tcPr>
            <w:tcW w:w="993" w:type="dxa"/>
            <w:vMerge/>
            <w:tcBorders>
              <w:left w:val="single" w:sz="12" w:space="0" w:color="auto"/>
              <w:bottom w:val="single" w:sz="12" w:space="0" w:color="auto"/>
            </w:tcBorders>
            <w:shd w:val="clear" w:color="auto" w:fill="C5E0B3" w:themeFill="accent6" w:themeFillTint="66"/>
            <w:textDirection w:val="btLr"/>
            <w:vAlign w:val="center"/>
          </w:tcPr>
          <w:p w14:paraId="134157A3"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E2EFD9" w:themeFill="accent6" w:themeFillTint="33"/>
            <w:vAlign w:val="center"/>
          </w:tcPr>
          <w:p w14:paraId="087611B2"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B.2.2. </w:t>
            </w:r>
          </w:p>
          <w:p w14:paraId="25662AFF" w14:textId="22393A16"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Diploma, derece ve diğer yeterliliklerin tanınması ve sertifikalandırılması</w:t>
            </w:r>
          </w:p>
        </w:tc>
        <w:tc>
          <w:tcPr>
            <w:tcW w:w="4278" w:type="dxa"/>
            <w:tcBorders>
              <w:bottom w:val="single" w:sz="12" w:space="0" w:color="auto"/>
            </w:tcBorders>
            <w:shd w:val="clear" w:color="auto" w:fill="E2EFD9" w:themeFill="accent6" w:themeFillTint="33"/>
            <w:vAlign w:val="center"/>
          </w:tcPr>
          <w:p w14:paraId="5B8C369A" w14:textId="5032AB05"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Diploma, derece ve diğer yeterliliklerin tanınması ve sertifikalandırılmasına ilişkin uygulamalardan elde edilen bulgular, sistematik olarak izlenerek paydaşlarla birlikte değerlendirilmekte ve izlem sonuçlarına göre önlem alınmaktadır.</w:t>
            </w:r>
          </w:p>
        </w:tc>
        <w:tc>
          <w:tcPr>
            <w:tcW w:w="708" w:type="dxa"/>
            <w:tcBorders>
              <w:bottom w:val="single" w:sz="12" w:space="0" w:color="auto"/>
            </w:tcBorders>
            <w:shd w:val="clear" w:color="auto" w:fill="E2EFD9" w:themeFill="accent6" w:themeFillTint="33"/>
            <w:vAlign w:val="center"/>
          </w:tcPr>
          <w:p w14:paraId="2D17941A" w14:textId="42D7B249"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C5E0B3" w:themeFill="accent6" w:themeFillTint="66"/>
            <w:vAlign w:val="center"/>
          </w:tcPr>
          <w:p w14:paraId="015C8F10"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B.2.2. </w:t>
            </w:r>
          </w:p>
          <w:p w14:paraId="20BD9810" w14:textId="3CEA3E15"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Yeterliliklerin sertifikalandırılması ve diploma</w:t>
            </w:r>
          </w:p>
        </w:tc>
        <w:tc>
          <w:tcPr>
            <w:tcW w:w="4961" w:type="dxa"/>
            <w:tcBorders>
              <w:bottom w:val="single" w:sz="12" w:space="0" w:color="auto"/>
            </w:tcBorders>
            <w:shd w:val="clear" w:color="auto" w:fill="C5E0B3" w:themeFill="accent6" w:themeFillTint="66"/>
            <w:vAlign w:val="center"/>
          </w:tcPr>
          <w:p w14:paraId="7C998155" w14:textId="579F91E6" w:rsidR="00C1726B" w:rsidRPr="00B82F82" w:rsidRDefault="008A5995" w:rsidP="00C1726B">
            <w:pPr>
              <w:jc w:val="both"/>
              <w:rPr>
                <w:rFonts w:ascii="Times New Roman" w:hAnsi="Times New Roman" w:cs="Times New Roman"/>
                <w:sz w:val="20"/>
                <w:szCs w:val="20"/>
              </w:rPr>
            </w:pPr>
            <w:r w:rsidRPr="00B82F82">
              <w:rPr>
                <w:rFonts w:ascii="Times New Roman" w:hAnsi="Times New Roman" w:cs="Times New Roman"/>
                <w:sz w:val="20"/>
                <w:szCs w:val="20"/>
              </w:rPr>
              <w:t>Uygulamalar izlenmekte ve tanımlı süreçler iyileştirilmektedir.</w:t>
            </w:r>
          </w:p>
        </w:tc>
        <w:tc>
          <w:tcPr>
            <w:tcW w:w="709" w:type="dxa"/>
            <w:tcBorders>
              <w:bottom w:val="single" w:sz="12" w:space="0" w:color="auto"/>
              <w:right w:val="single" w:sz="12" w:space="0" w:color="auto"/>
            </w:tcBorders>
            <w:shd w:val="clear" w:color="auto" w:fill="C5E0B3" w:themeFill="accent6" w:themeFillTint="66"/>
            <w:vAlign w:val="center"/>
          </w:tcPr>
          <w:p w14:paraId="28039C8E" w14:textId="56E90DB6"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5699E6DE" w14:textId="77777777" w:rsidTr="00C70740">
        <w:trPr>
          <w:trHeight w:val="2115"/>
        </w:trPr>
        <w:tc>
          <w:tcPr>
            <w:tcW w:w="993" w:type="dxa"/>
            <w:vMerge w:val="restart"/>
            <w:tcBorders>
              <w:top w:val="single" w:sz="12" w:space="0" w:color="auto"/>
              <w:left w:val="single" w:sz="12" w:space="0" w:color="auto"/>
            </w:tcBorders>
            <w:shd w:val="clear" w:color="auto" w:fill="C5E0B3" w:themeFill="accent6" w:themeFillTint="66"/>
            <w:textDirection w:val="btLr"/>
            <w:vAlign w:val="center"/>
          </w:tcPr>
          <w:p w14:paraId="2AA744CC"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lastRenderedPageBreak/>
              <w:t xml:space="preserve">B.3. </w:t>
            </w:r>
          </w:p>
          <w:p w14:paraId="3E87AB80" w14:textId="4B482B05"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Öğrenci Merkezli Öğrenme, Öğretme ve Değerlendirme</w:t>
            </w:r>
          </w:p>
        </w:tc>
        <w:tc>
          <w:tcPr>
            <w:tcW w:w="1963" w:type="dxa"/>
            <w:tcBorders>
              <w:top w:val="single" w:sz="12" w:space="0" w:color="auto"/>
            </w:tcBorders>
            <w:shd w:val="clear" w:color="auto" w:fill="E2EFD9" w:themeFill="accent6" w:themeFillTint="33"/>
            <w:vAlign w:val="center"/>
          </w:tcPr>
          <w:p w14:paraId="57A0AA80"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B.3.1. </w:t>
            </w:r>
          </w:p>
          <w:p w14:paraId="7F28AEC0" w14:textId="5D59C328"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Öğretim yöntem ve teknikleri (Aktif, disiplinlerarası çalışma, etkileşimli, araştırma/öğrenme odaklı)</w:t>
            </w:r>
          </w:p>
        </w:tc>
        <w:tc>
          <w:tcPr>
            <w:tcW w:w="4278" w:type="dxa"/>
            <w:tcBorders>
              <w:top w:val="single" w:sz="12" w:space="0" w:color="auto"/>
            </w:tcBorders>
            <w:shd w:val="clear" w:color="auto" w:fill="E2EFD9" w:themeFill="accent6" w:themeFillTint="33"/>
            <w:vAlign w:val="center"/>
          </w:tcPr>
          <w:p w14:paraId="56C4FCB3" w14:textId="7B0E4979"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programlarda öğrenme-öğretme süreçlerinde aktif ve etkileşimli öğrenci katılımını sağlayan güncel, disiplinlerarası çalışmaya teşvik eden ve araştırma/öğrenme ve öğrenci odaklı öğretim yöntem ve teknikleri uygulanmakta ve bu uygulamalardan bazı sonuçlar elde edilmektedir. Ancak bu uygulamaların sonuçlarının izlenmesi yapılmamaktadır.</w:t>
            </w:r>
          </w:p>
        </w:tc>
        <w:tc>
          <w:tcPr>
            <w:tcW w:w="708" w:type="dxa"/>
            <w:tcBorders>
              <w:top w:val="single" w:sz="12" w:space="0" w:color="auto"/>
            </w:tcBorders>
            <w:shd w:val="clear" w:color="auto" w:fill="E2EFD9" w:themeFill="accent6" w:themeFillTint="33"/>
            <w:vAlign w:val="center"/>
          </w:tcPr>
          <w:p w14:paraId="5E1F5018" w14:textId="6E25958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top w:val="single" w:sz="12" w:space="0" w:color="auto"/>
            </w:tcBorders>
            <w:shd w:val="clear" w:color="auto" w:fill="C5E0B3" w:themeFill="accent6" w:themeFillTint="66"/>
            <w:vAlign w:val="center"/>
          </w:tcPr>
          <w:p w14:paraId="1EC25619"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B.3.1. </w:t>
            </w:r>
          </w:p>
          <w:p w14:paraId="435E558E" w14:textId="28B8753A"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Öğretim yöntem ve teknikleri</w:t>
            </w:r>
          </w:p>
        </w:tc>
        <w:tc>
          <w:tcPr>
            <w:tcW w:w="4961" w:type="dxa"/>
            <w:tcBorders>
              <w:top w:val="single" w:sz="12" w:space="0" w:color="auto"/>
            </w:tcBorders>
            <w:shd w:val="clear" w:color="auto" w:fill="C5E0B3" w:themeFill="accent6" w:themeFillTint="66"/>
            <w:vAlign w:val="center"/>
          </w:tcPr>
          <w:p w14:paraId="7250863A" w14:textId="5DD344AA" w:rsidR="00C1726B" w:rsidRPr="00B82F82" w:rsidRDefault="008A5995" w:rsidP="00C1726B">
            <w:pPr>
              <w:jc w:val="both"/>
              <w:rPr>
                <w:rFonts w:ascii="Times New Roman" w:hAnsi="Times New Roman" w:cs="Times New Roman"/>
                <w:sz w:val="20"/>
                <w:szCs w:val="20"/>
              </w:rPr>
            </w:pPr>
            <w:r w:rsidRPr="00B82F82">
              <w:rPr>
                <w:rFonts w:ascii="Times New Roman" w:hAnsi="Times New Roman" w:cs="Times New Roman"/>
                <w:sz w:val="20"/>
                <w:szCs w:val="20"/>
              </w:rPr>
              <w:t>Programların genelinde öğrenci merkezli öğretim yöntem teknikleri tanımlı süreçler doğrultusunda uygulanmaktadır.</w:t>
            </w:r>
          </w:p>
        </w:tc>
        <w:tc>
          <w:tcPr>
            <w:tcW w:w="709" w:type="dxa"/>
            <w:tcBorders>
              <w:top w:val="single" w:sz="12" w:space="0" w:color="auto"/>
              <w:right w:val="single" w:sz="12" w:space="0" w:color="auto"/>
            </w:tcBorders>
            <w:shd w:val="clear" w:color="auto" w:fill="C5E0B3" w:themeFill="accent6" w:themeFillTint="66"/>
            <w:vAlign w:val="center"/>
          </w:tcPr>
          <w:p w14:paraId="163A5349" w14:textId="4775FEB9"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1A69449C" w14:textId="77777777" w:rsidTr="00C70740">
        <w:trPr>
          <w:trHeight w:val="2684"/>
        </w:trPr>
        <w:tc>
          <w:tcPr>
            <w:tcW w:w="993" w:type="dxa"/>
            <w:vMerge/>
            <w:tcBorders>
              <w:left w:val="single" w:sz="12" w:space="0" w:color="auto"/>
            </w:tcBorders>
            <w:shd w:val="clear" w:color="auto" w:fill="C5E0B3" w:themeFill="accent6" w:themeFillTint="66"/>
            <w:textDirection w:val="btLr"/>
            <w:vAlign w:val="center"/>
          </w:tcPr>
          <w:p w14:paraId="0C3E36F7"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608F44E5"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B.3.2. </w:t>
            </w:r>
          </w:p>
          <w:p w14:paraId="693ABA32" w14:textId="2AD24AE0"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Ölçme ve değerlendirme (Öğrencilerin özelliklerine ve öğrenme düzeylerine göre farklılaştırılmış alternatif ölçme yöntem ve tekniklerine yer verme gibi)</w:t>
            </w:r>
          </w:p>
        </w:tc>
        <w:tc>
          <w:tcPr>
            <w:tcW w:w="4278" w:type="dxa"/>
            <w:shd w:val="clear" w:color="auto" w:fill="E2EFD9" w:themeFill="accent6" w:themeFillTint="33"/>
            <w:vAlign w:val="center"/>
          </w:tcPr>
          <w:p w14:paraId="0D06116B" w14:textId="198D3EAD"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programlarda öğrenci merkezli ölçme ve değerlendirmeye ilişkin olgunlaşmış uygulamalardan elde edilen bulgular, sistematik olarak izlenmekte ve izlem sonuçları paydaşlarla birlikte değerlendirilerek önlemler alınmaktadır.</w:t>
            </w:r>
          </w:p>
        </w:tc>
        <w:tc>
          <w:tcPr>
            <w:tcW w:w="708" w:type="dxa"/>
            <w:shd w:val="clear" w:color="auto" w:fill="E2EFD9" w:themeFill="accent6" w:themeFillTint="33"/>
            <w:vAlign w:val="center"/>
          </w:tcPr>
          <w:p w14:paraId="3CD6F603" w14:textId="5AAA36CE"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2FCD6A3B"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B.3.2. </w:t>
            </w:r>
          </w:p>
          <w:p w14:paraId="7C29A20B" w14:textId="5C1BC124"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Ölçme ve değerlendirme</w:t>
            </w:r>
          </w:p>
        </w:tc>
        <w:tc>
          <w:tcPr>
            <w:tcW w:w="4961" w:type="dxa"/>
            <w:shd w:val="clear" w:color="auto" w:fill="C5E0B3" w:themeFill="accent6" w:themeFillTint="66"/>
            <w:vAlign w:val="center"/>
          </w:tcPr>
          <w:p w14:paraId="1DA89726" w14:textId="489794CE" w:rsidR="00C1726B" w:rsidRPr="00B82F82" w:rsidRDefault="00D073C6" w:rsidP="00C1726B">
            <w:pPr>
              <w:jc w:val="both"/>
              <w:rPr>
                <w:rFonts w:ascii="Times New Roman" w:hAnsi="Times New Roman" w:cs="Times New Roman"/>
                <w:sz w:val="20"/>
                <w:szCs w:val="20"/>
              </w:rPr>
            </w:pPr>
            <w:r w:rsidRPr="00B82F82">
              <w:rPr>
                <w:rFonts w:ascii="Times New Roman" w:hAnsi="Times New Roman" w:cs="Times New Roman"/>
                <w:sz w:val="20"/>
                <w:szCs w:val="20"/>
              </w:rPr>
              <w:t>Programların genelinde öğrenci merkezli ve çeşitlendirilmiş ölçme ve değerlendirme uygulamaları bulunmaktadır.</w:t>
            </w:r>
          </w:p>
        </w:tc>
        <w:tc>
          <w:tcPr>
            <w:tcW w:w="709" w:type="dxa"/>
            <w:tcBorders>
              <w:right w:val="single" w:sz="12" w:space="0" w:color="auto"/>
            </w:tcBorders>
            <w:shd w:val="clear" w:color="auto" w:fill="C5E0B3" w:themeFill="accent6" w:themeFillTint="66"/>
            <w:vAlign w:val="center"/>
          </w:tcPr>
          <w:p w14:paraId="67BB6046" w14:textId="76711F57"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7BA91C7" w14:textId="77777777" w:rsidTr="00C70740">
        <w:trPr>
          <w:trHeight w:val="2199"/>
        </w:trPr>
        <w:tc>
          <w:tcPr>
            <w:tcW w:w="993" w:type="dxa"/>
            <w:vMerge/>
            <w:tcBorders>
              <w:left w:val="single" w:sz="12" w:space="0" w:color="auto"/>
            </w:tcBorders>
            <w:shd w:val="clear" w:color="auto" w:fill="C5E0B3" w:themeFill="accent6" w:themeFillTint="66"/>
            <w:textDirection w:val="btLr"/>
            <w:vAlign w:val="center"/>
          </w:tcPr>
          <w:p w14:paraId="31246E04"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41EF2F1A"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B.3.3. </w:t>
            </w:r>
          </w:p>
          <w:p w14:paraId="5379CCB8" w14:textId="1D0AC9DF"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Öğrenci geri bildirimleri (Ders-öğretim üyesi-program-genel memnuniyet anketleri, talep ve öneri sistemleri)</w:t>
            </w:r>
          </w:p>
        </w:tc>
        <w:tc>
          <w:tcPr>
            <w:tcW w:w="4278" w:type="dxa"/>
            <w:shd w:val="clear" w:color="auto" w:fill="E2EFD9" w:themeFill="accent6" w:themeFillTint="33"/>
            <w:vAlign w:val="center"/>
          </w:tcPr>
          <w:p w14:paraId="02AF8397" w14:textId="447F5CBE"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708" w:type="dxa"/>
            <w:shd w:val="clear" w:color="auto" w:fill="E2EFD9" w:themeFill="accent6" w:themeFillTint="33"/>
            <w:vAlign w:val="center"/>
          </w:tcPr>
          <w:p w14:paraId="2257FC0B" w14:textId="6515B0C6"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67F17A2A"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B.3.3. </w:t>
            </w:r>
          </w:p>
          <w:p w14:paraId="31388E97" w14:textId="6E630631"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Öğrenci geri bildirimleri</w:t>
            </w:r>
          </w:p>
        </w:tc>
        <w:tc>
          <w:tcPr>
            <w:tcW w:w="4961" w:type="dxa"/>
            <w:shd w:val="clear" w:color="auto" w:fill="C5E0B3" w:themeFill="accent6" w:themeFillTint="66"/>
            <w:vAlign w:val="center"/>
          </w:tcPr>
          <w:p w14:paraId="246CF0B7" w14:textId="1BB41336" w:rsidR="00C1726B" w:rsidRPr="00B82F82" w:rsidRDefault="00B44052" w:rsidP="00C1726B">
            <w:pPr>
              <w:jc w:val="both"/>
              <w:rPr>
                <w:rFonts w:ascii="Times New Roman" w:hAnsi="Times New Roman" w:cs="Times New Roman"/>
                <w:sz w:val="20"/>
                <w:szCs w:val="20"/>
              </w:rPr>
            </w:pPr>
            <w:r w:rsidRPr="00B82F82">
              <w:rPr>
                <w:rFonts w:ascii="Times New Roman" w:hAnsi="Times New Roman" w:cs="Times New Roman"/>
                <w:sz w:val="20"/>
                <w:szCs w:val="20"/>
              </w:rPr>
              <w:t>Programların genelinde öğrenci geri bildirimleri (her yarıyıl ya da her akademik yıl sonunda) alınmaktadır.</w:t>
            </w:r>
          </w:p>
        </w:tc>
        <w:tc>
          <w:tcPr>
            <w:tcW w:w="709" w:type="dxa"/>
            <w:tcBorders>
              <w:right w:val="single" w:sz="12" w:space="0" w:color="auto"/>
            </w:tcBorders>
            <w:shd w:val="clear" w:color="auto" w:fill="C5E0B3" w:themeFill="accent6" w:themeFillTint="66"/>
            <w:vAlign w:val="center"/>
          </w:tcPr>
          <w:p w14:paraId="025B683D" w14:textId="35E87A8B"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A0C1D00" w14:textId="77777777" w:rsidTr="00C70740">
        <w:trPr>
          <w:trHeight w:val="1276"/>
        </w:trPr>
        <w:tc>
          <w:tcPr>
            <w:tcW w:w="993" w:type="dxa"/>
            <w:vMerge/>
            <w:tcBorders>
              <w:left w:val="single" w:sz="12" w:space="0" w:color="auto"/>
              <w:bottom w:val="single" w:sz="12" w:space="0" w:color="auto"/>
            </w:tcBorders>
            <w:shd w:val="clear" w:color="auto" w:fill="C5E0B3" w:themeFill="accent6" w:themeFillTint="66"/>
            <w:textDirection w:val="btLr"/>
            <w:vAlign w:val="center"/>
          </w:tcPr>
          <w:p w14:paraId="7739DDD1"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E2EFD9" w:themeFill="accent6" w:themeFillTint="33"/>
            <w:vAlign w:val="center"/>
          </w:tcPr>
          <w:p w14:paraId="2BE49536"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B.3.4. </w:t>
            </w:r>
          </w:p>
          <w:p w14:paraId="1B7739D1" w14:textId="135E836D"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Akademik danışmanlık</w:t>
            </w:r>
          </w:p>
        </w:tc>
        <w:tc>
          <w:tcPr>
            <w:tcW w:w="4278" w:type="dxa"/>
            <w:tcBorders>
              <w:bottom w:val="single" w:sz="12" w:space="0" w:color="auto"/>
            </w:tcBorders>
            <w:shd w:val="clear" w:color="auto" w:fill="E2EFD9" w:themeFill="accent6" w:themeFillTint="33"/>
            <w:vAlign w:val="center"/>
          </w:tcPr>
          <w:p w14:paraId="47F1CC13" w14:textId="15028A52"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akademik danışmanlığa ilişkin yürütülen uygulamalardan elde edilen bulgular, sistematik olarak izlenmekte ve izlem sonuçları paydaşlarla birlikte değerlendirilerek önlemler alınmaktadır.</w:t>
            </w:r>
          </w:p>
        </w:tc>
        <w:tc>
          <w:tcPr>
            <w:tcW w:w="708" w:type="dxa"/>
            <w:tcBorders>
              <w:bottom w:val="single" w:sz="12" w:space="0" w:color="auto"/>
            </w:tcBorders>
            <w:shd w:val="clear" w:color="auto" w:fill="E2EFD9" w:themeFill="accent6" w:themeFillTint="33"/>
            <w:vAlign w:val="center"/>
          </w:tcPr>
          <w:p w14:paraId="222ED899" w14:textId="1D81270F"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C5E0B3" w:themeFill="accent6" w:themeFillTint="66"/>
            <w:vAlign w:val="center"/>
          </w:tcPr>
          <w:p w14:paraId="0D5203DC"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B.3.4. </w:t>
            </w:r>
          </w:p>
          <w:p w14:paraId="0FBE185F" w14:textId="01AAB798"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Akademik danışmanlık</w:t>
            </w:r>
          </w:p>
        </w:tc>
        <w:tc>
          <w:tcPr>
            <w:tcW w:w="4961" w:type="dxa"/>
            <w:tcBorders>
              <w:bottom w:val="single" w:sz="12" w:space="0" w:color="auto"/>
            </w:tcBorders>
            <w:shd w:val="clear" w:color="auto" w:fill="C5E0B3" w:themeFill="accent6" w:themeFillTint="66"/>
            <w:vAlign w:val="center"/>
          </w:tcPr>
          <w:p w14:paraId="7A381FB9" w14:textId="337DCD73" w:rsidR="00C1726B" w:rsidRPr="00B82F82" w:rsidRDefault="004A469D"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akademik danışmanlık ilke ve kurallar dahilinde yürütülmektedir.</w:t>
            </w:r>
          </w:p>
        </w:tc>
        <w:tc>
          <w:tcPr>
            <w:tcW w:w="709" w:type="dxa"/>
            <w:tcBorders>
              <w:bottom w:val="single" w:sz="12" w:space="0" w:color="auto"/>
              <w:right w:val="single" w:sz="12" w:space="0" w:color="auto"/>
            </w:tcBorders>
            <w:shd w:val="clear" w:color="auto" w:fill="C5E0B3" w:themeFill="accent6" w:themeFillTint="66"/>
            <w:vAlign w:val="center"/>
          </w:tcPr>
          <w:p w14:paraId="5625FA9C" w14:textId="1E6AC6E6"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1B0ED32C" w14:textId="77777777" w:rsidTr="00C70740">
        <w:trPr>
          <w:trHeight w:val="1686"/>
        </w:trPr>
        <w:tc>
          <w:tcPr>
            <w:tcW w:w="993" w:type="dxa"/>
            <w:vMerge w:val="restart"/>
            <w:tcBorders>
              <w:top w:val="single" w:sz="12" w:space="0" w:color="auto"/>
              <w:left w:val="single" w:sz="12" w:space="0" w:color="auto"/>
            </w:tcBorders>
            <w:shd w:val="clear" w:color="auto" w:fill="C5E0B3" w:themeFill="accent6" w:themeFillTint="66"/>
            <w:textDirection w:val="btLr"/>
            <w:vAlign w:val="center"/>
          </w:tcPr>
          <w:p w14:paraId="06790309"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lastRenderedPageBreak/>
              <w:t xml:space="preserve">B.4. </w:t>
            </w:r>
          </w:p>
          <w:p w14:paraId="44BE6072" w14:textId="302B4168"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Öğretim Elemanları</w:t>
            </w:r>
          </w:p>
        </w:tc>
        <w:tc>
          <w:tcPr>
            <w:tcW w:w="1963" w:type="dxa"/>
            <w:tcBorders>
              <w:top w:val="single" w:sz="12" w:space="0" w:color="auto"/>
            </w:tcBorders>
            <w:shd w:val="clear" w:color="auto" w:fill="E2EFD9" w:themeFill="accent6" w:themeFillTint="33"/>
            <w:vAlign w:val="center"/>
          </w:tcPr>
          <w:p w14:paraId="3C06CA7A"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B.4.1. </w:t>
            </w:r>
          </w:p>
          <w:p w14:paraId="0DC132D0" w14:textId="37686C12"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Atama, yükseltme ve görevlendirme kriterleri</w:t>
            </w:r>
          </w:p>
        </w:tc>
        <w:tc>
          <w:tcPr>
            <w:tcW w:w="4278" w:type="dxa"/>
            <w:tcBorders>
              <w:top w:val="single" w:sz="12" w:space="0" w:color="auto"/>
            </w:tcBorders>
            <w:shd w:val="clear" w:color="auto" w:fill="E2EFD9" w:themeFill="accent6" w:themeFillTint="33"/>
            <w:vAlign w:val="center"/>
          </w:tcPr>
          <w:p w14:paraId="47C716AD" w14:textId="36505736"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Tüm alanlarda atama, yükseltme ve görevlendirmeye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tc>
        <w:tc>
          <w:tcPr>
            <w:tcW w:w="708" w:type="dxa"/>
            <w:tcBorders>
              <w:top w:val="single" w:sz="12" w:space="0" w:color="auto"/>
            </w:tcBorders>
            <w:shd w:val="clear" w:color="auto" w:fill="E2EFD9" w:themeFill="accent6" w:themeFillTint="33"/>
            <w:vAlign w:val="center"/>
          </w:tcPr>
          <w:p w14:paraId="3BBDBEC5" w14:textId="432E87F6"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5</w:t>
            </w:r>
          </w:p>
        </w:tc>
        <w:tc>
          <w:tcPr>
            <w:tcW w:w="2268" w:type="dxa"/>
            <w:tcBorders>
              <w:top w:val="single" w:sz="12" w:space="0" w:color="auto"/>
            </w:tcBorders>
            <w:shd w:val="clear" w:color="auto" w:fill="C5E0B3" w:themeFill="accent6" w:themeFillTint="66"/>
            <w:vAlign w:val="center"/>
          </w:tcPr>
          <w:p w14:paraId="5A7650C0"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B.4.1. </w:t>
            </w:r>
          </w:p>
          <w:p w14:paraId="0EDBCD2E" w14:textId="7D590088"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Atama, yükseltme ve görevlendirme kriterleri</w:t>
            </w:r>
          </w:p>
        </w:tc>
        <w:tc>
          <w:tcPr>
            <w:tcW w:w="4961" w:type="dxa"/>
            <w:tcBorders>
              <w:top w:val="single" w:sz="12" w:space="0" w:color="auto"/>
            </w:tcBorders>
            <w:shd w:val="clear" w:color="auto" w:fill="C5E0B3" w:themeFill="accent6" w:themeFillTint="66"/>
            <w:vAlign w:val="center"/>
          </w:tcPr>
          <w:p w14:paraId="794C4FD3" w14:textId="311843EB" w:rsidR="00C1726B" w:rsidRPr="00B82F82" w:rsidRDefault="00847D1B" w:rsidP="00C1726B">
            <w:pPr>
              <w:jc w:val="both"/>
              <w:rPr>
                <w:rFonts w:ascii="Times New Roman" w:hAnsi="Times New Roman" w:cs="Times New Roman"/>
                <w:sz w:val="20"/>
                <w:szCs w:val="20"/>
              </w:rPr>
            </w:pPr>
            <w:r w:rsidRPr="00B82F82">
              <w:rPr>
                <w:rFonts w:ascii="Times New Roman" w:hAnsi="Times New Roman" w:cs="Times New Roman"/>
                <w:sz w:val="20"/>
                <w:szCs w:val="20"/>
              </w:rPr>
              <w:t>Atama, yükseltme ve görevlendirme uygulamalarının sonuçları izlenmekte ve izlem sonuçları değerlendirilerek önlemler alınmaktadır.</w:t>
            </w:r>
          </w:p>
        </w:tc>
        <w:tc>
          <w:tcPr>
            <w:tcW w:w="709" w:type="dxa"/>
            <w:tcBorders>
              <w:top w:val="single" w:sz="12" w:space="0" w:color="auto"/>
              <w:right w:val="single" w:sz="12" w:space="0" w:color="auto"/>
            </w:tcBorders>
            <w:shd w:val="clear" w:color="auto" w:fill="C5E0B3" w:themeFill="accent6" w:themeFillTint="66"/>
            <w:vAlign w:val="center"/>
          </w:tcPr>
          <w:p w14:paraId="7F9F3DB2" w14:textId="0804AC98"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4A21F229" w14:textId="77777777" w:rsidTr="00C70740">
        <w:trPr>
          <w:trHeight w:val="2254"/>
        </w:trPr>
        <w:tc>
          <w:tcPr>
            <w:tcW w:w="993" w:type="dxa"/>
            <w:vMerge/>
            <w:tcBorders>
              <w:left w:val="single" w:sz="12" w:space="0" w:color="auto"/>
            </w:tcBorders>
            <w:shd w:val="clear" w:color="auto" w:fill="C5E0B3" w:themeFill="accent6" w:themeFillTint="66"/>
            <w:textDirection w:val="btLr"/>
            <w:vAlign w:val="center"/>
          </w:tcPr>
          <w:p w14:paraId="0A3D56A6"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2099154F"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B.4.2.</w:t>
            </w:r>
          </w:p>
          <w:p w14:paraId="22C7FC0E" w14:textId="2BD33046"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Öğretim yetkinliği (Aktif öğrenme, uzaktan eğitim, ölçme değerlendirme, yenilikçi yaklaşımlar, materyal geliştirme, yetkinlik kazandırma ve kalite güvence sistemi)</w:t>
            </w:r>
          </w:p>
        </w:tc>
        <w:tc>
          <w:tcPr>
            <w:tcW w:w="4278" w:type="dxa"/>
            <w:shd w:val="clear" w:color="auto" w:fill="E2EFD9" w:themeFill="accent6" w:themeFillTint="33"/>
            <w:vAlign w:val="center"/>
          </w:tcPr>
          <w:p w14:paraId="77744D7B" w14:textId="77777777"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öğretim elemanlarının öğretim yetkinliğini geliştirmek üzere uygulamalar vardır ve bunlar tüm birimleri kapsamaktadır. Ancak bu uygulamaların sonuçlarının izlenmesi yapılmamaktadır.</w:t>
            </w:r>
          </w:p>
          <w:p w14:paraId="6D1D59FC" w14:textId="6AB68760" w:rsidR="00C1726B" w:rsidRPr="007843E6" w:rsidRDefault="00C1726B" w:rsidP="00C1726B">
            <w:pPr>
              <w:jc w:val="both"/>
              <w:rPr>
                <w:rFonts w:ascii="Times New Roman" w:hAnsi="Times New Roman" w:cs="Times New Roman"/>
                <w:sz w:val="18"/>
                <w:szCs w:val="18"/>
              </w:rPr>
            </w:pPr>
          </w:p>
        </w:tc>
        <w:tc>
          <w:tcPr>
            <w:tcW w:w="708" w:type="dxa"/>
            <w:shd w:val="clear" w:color="auto" w:fill="E2EFD9" w:themeFill="accent6" w:themeFillTint="33"/>
            <w:vAlign w:val="center"/>
          </w:tcPr>
          <w:p w14:paraId="1A11FB88" w14:textId="581D2D6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shd w:val="clear" w:color="auto" w:fill="C5E0B3" w:themeFill="accent6" w:themeFillTint="66"/>
            <w:vAlign w:val="center"/>
          </w:tcPr>
          <w:p w14:paraId="7AE4D6CC"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B.4.2. </w:t>
            </w:r>
          </w:p>
          <w:p w14:paraId="405E3133" w14:textId="2BFBEDF7"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Öğretim yetkinliği</w:t>
            </w:r>
          </w:p>
        </w:tc>
        <w:tc>
          <w:tcPr>
            <w:tcW w:w="4961" w:type="dxa"/>
            <w:shd w:val="clear" w:color="auto" w:fill="C5E0B3" w:themeFill="accent6" w:themeFillTint="66"/>
            <w:vAlign w:val="center"/>
          </w:tcPr>
          <w:p w14:paraId="3EEB41EF" w14:textId="32D5A0D9" w:rsidR="00C1726B" w:rsidRPr="00B82F82" w:rsidRDefault="007A7C08"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öğretim elemanlarının öğretim yetkinliğini geliştirmek üzere uygulamalar vardır.</w:t>
            </w:r>
          </w:p>
        </w:tc>
        <w:tc>
          <w:tcPr>
            <w:tcW w:w="709" w:type="dxa"/>
            <w:tcBorders>
              <w:right w:val="single" w:sz="12" w:space="0" w:color="auto"/>
            </w:tcBorders>
            <w:shd w:val="clear" w:color="auto" w:fill="C5E0B3" w:themeFill="accent6" w:themeFillTint="66"/>
            <w:vAlign w:val="center"/>
          </w:tcPr>
          <w:p w14:paraId="624D4A22" w14:textId="3811478C"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7F69CECF" w14:textId="77777777" w:rsidTr="00C70740">
        <w:trPr>
          <w:trHeight w:val="1406"/>
        </w:trPr>
        <w:tc>
          <w:tcPr>
            <w:tcW w:w="993" w:type="dxa"/>
            <w:vMerge/>
            <w:tcBorders>
              <w:left w:val="single" w:sz="12" w:space="0" w:color="auto"/>
              <w:bottom w:val="single" w:sz="12" w:space="0" w:color="auto"/>
            </w:tcBorders>
            <w:shd w:val="clear" w:color="auto" w:fill="C5E0B3" w:themeFill="accent6" w:themeFillTint="66"/>
            <w:textDirection w:val="btLr"/>
            <w:vAlign w:val="center"/>
          </w:tcPr>
          <w:p w14:paraId="0912EE47"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E2EFD9" w:themeFill="accent6" w:themeFillTint="33"/>
            <w:vAlign w:val="center"/>
          </w:tcPr>
          <w:p w14:paraId="67C3E660" w14:textId="0FBD0143"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B.4.3</w:t>
            </w:r>
            <w:r>
              <w:rPr>
                <w:rFonts w:ascii="Times New Roman" w:hAnsi="Times New Roman" w:cs="Times New Roman"/>
                <w:b/>
                <w:bCs/>
                <w:sz w:val="18"/>
                <w:szCs w:val="18"/>
              </w:rPr>
              <w:t>.</w:t>
            </w:r>
          </w:p>
          <w:p w14:paraId="1353F9BF" w14:textId="4E993CF2"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Eğitim faaliyetlerine yönelik teşvik ve ödüllendirme</w:t>
            </w:r>
          </w:p>
        </w:tc>
        <w:tc>
          <w:tcPr>
            <w:tcW w:w="4278" w:type="dxa"/>
            <w:tcBorders>
              <w:bottom w:val="single" w:sz="12" w:space="0" w:color="auto"/>
            </w:tcBorders>
            <w:shd w:val="clear" w:color="auto" w:fill="E2EFD9" w:themeFill="accent6" w:themeFillTint="33"/>
            <w:vAlign w:val="center"/>
          </w:tcPr>
          <w:p w14:paraId="17A0C89D" w14:textId="361EA4DD"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öğretim kadrosunu teşvik etme ve ödüllendirme uygulamaları öğretim elemanlarının yetkinlikleri dikkate alınarak adil ve şeffaf şekilde sürdürülmektedir ve bunlar tüm alanları kapsamaktadır. Ancak uygulama sonuçları izlenmemektedir.</w:t>
            </w:r>
          </w:p>
        </w:tc>
        <w:tc>
          <w:tcPr>
            <w:tcW w:w="708" w:type="dxa"/>
            <w:tcBorders>
              <w:bottom w:val="single" w:sz="12" w:space="0" w:color="auto"/>
            </w:tcBorders>
            <w:shd w:val="clear" w:color="auto" w:fill="E2EFD9" w:themeFill="accent6" w:themeFillTint="33"/>
            <w:vAlign w:val="center"/>
          </w:tcPr>
          <w:p w14:paraId="0E3CF9AB" w14:textId="50A77B31"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bottom w:val="single" w:sz="12" w:space="0" w:color="auto"/>
            </w:tcBorders>
            <w:shd w:val="clear" w:color="auto" w:fill="C5E0B3" w:themeFill="accent6" w:themeFillTint="66"/>
            <w:vAlign w:val="center"/>
          </w:tcPr>
          <w:p w14:paraId="390B59F8"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B.4.3. </w:t>
            </w:r>
          </w:p>
          <w:p w14:paraId="2130F200" w14:textId="0973C2F8"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Eğitim faaliyetlerine yönelik teşvik ve ödüllendirme</w:t>
            </w:r>
          </w:p>
        </w:tc>
        <w:tc>
          <w:tcPr>
            <w:tcW w:w="4961" w:type="dxa"/>
            <w:tcBorders>
              <w:bottom w:val="single" w:sz="12" w:space="0" w:color="auto"/>
            </w:tcBorders>
            <w:shd w:val="clear" w:color="auto" w:fill="C5E0B3" w:themeFill="accent6" w:themeFillTint="66"/>
            <w:vAlign w:val="center"/>
          </w:tcPr>
          <w:p w14:paraId="5442C54D" w14:textId="33809C79" w:rsidR="00C1726B" w:rsidRPr="00B82F82" w:rsidRDefault="000E524B" w:rsidP="00C1726B">
            <w:pPr>
              <w:jc w:val="both"/>
              <w:rPr>
                <w:rFonts w:ascii="Times New Roman" w:hAnsi="Times New Roman" w:cs="Times New Roman"/>
                <w:sz w:val="20"/>
                <w:szCs w:val="20"/>
              </w:rPr>
            </w:pPr>
            <w:r w:rsidRPr="00B82F82">
              <w:rPr>
                <w:rFonts w:ascii="Times New Roman" w:hAnsi="Times New Roman" w:cs="Times New Roman"/>
                <w:sz w:val="20"/>
                <w:szCs w:val="20"/>
              </w:rPr>
              <w:t>Teşvik ve ödüllendirme uygulamaları kurum geneline yayılmıştır.</w:t>
            </w:r>
          </w:p>
        </w:tc>
        <w:tc>
          <w:tcPr>
            <w:tcW w:w="709" w:type="dxa"/>
            <w:tcBorders>
              <w:bottom w:val="single" w:sz="12" w:space="0" w:color="auto"/>
              <w:right w:val="single" w:sz="12" w:space="0" w:color="auto"/>
            </w:tcBorders>
            <w:shd w:val="clear" w:color="auto" w:fill="C5E0B3" w:themeFill="accent6" w:themeFillTint="66"/>
            <w:vAlign w:val="center"/>
          </w:tcPr>
          <w:p w14:paraId="2097ECF2" w14:textId="03874994"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885C4EB" w14:textId="77777777" w:rsidTr="00C70740">
        <w:trPr>
          <w:trHeight w:val="1979"/>
        </w:trPr>
        <w:tc>
          <w:tcPr>
            <w:tcW w:w="993" w:type="dxa"/>
            <w:vMerge w:val="restart"/>
            <w:tcBorders>
              <w:top w:val="single" w:sz="12" w:space="0" w:color="auto"/>
              <w:left w:val="single" w:sz="12" w:space="0" w:color="auto"/>
            </w:tcBorders>
            <w:shd w:val="clear" w:color="auto" w:fill="C5E0B3" w:themeFill="accent6" w:themeFillTint="66"/>
            <w:textDirection w:val="btLr"/>
            <w:vAlign w:val="center"/>
          </w:tcPr>
          <w:p w14:paraId="2B9CE6B6"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 xml:space="preserve">B.5. </w:t>
            </w:r>
          </w:p>
          <w:p w14:paraId="4BE45694" w14:textId="6B7611FC"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Öğrenme Kaynakları</w:t>
            </w:r>
          </w:p>
        </w:tc>
        <w:tc>
          <w:tcPr>
            <w:tcW w:w="1963" w:type="dxa"/>
            <w:tcBorders>
              <w:top w:val="single" w:sz="12" w:space="0" w:color="auto"/>
            </w:tcBorders>
            <w:shd w:val="clear" w:color="auto" w:fill="E2EFD9" w:themeFill="accent6" w:themeFillTint="33"/>
            <w:vAlign w:val="center"/>
          </w:tcPr>
          <w:p w14:paraId="20763CDC"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B.5.1. </w:t>
            </w:r>
          </w:p>
          <w:p w14:paraId="11DA3B7E" w14:textId="1AC2063E"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Öğrenme kaynakları</w:t>
            </w:r>
          </w:p>
        </w:tc>
        <w:tc>
          <w:tcPr>
            <w:tcW w:w="4278" w:type="dxa"/>
            <w:tcBorders>
              <w:top w:val="single" w:sz="12" w:space="0" w:color="auto"/>
            </w:tcBorders>
            <w:shd w:val="clear" w:color="auto" w:fill="E2EFD9" w:themeFill="accent6" w:themeFillTint="33"/>
            <w:vAlign w:val="center"/>
          </w:tcPr>
          <w:p w14:paraId="7C290E70" w14:textId="381C9127"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birimlerindeki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w:t>
            </w:r>
          </w:p>
        </w:tc>
        <w:tc>
          <w:tcPr>
            <w:tcW w:w="708" w:type="dxa"/>
            <w:tcBorders>
              <w:top w:val="single" w:sz="12" w:space="0" w:color="auto"/>
            </w:tcBorders>
            <w:shd w:val="clear" w:color="auto" w:fill="E2EFD9" w:themeFill="accent6" w:themeFillTint="33"/>
            <w:vAlign w:val="center"/>
          </w:tcPr>
          <w:p w14:paraId="4E1BCB55" w14:textId="3AF943E2"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C5E0B3" w:themeFill="accent6" w:themeFillTint="66"/>
            <w:vAlign w:val="center"/>
          </w:tcPr>
          <w:p w14:paraId="1D78592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B.5.1. </w:t>
            </w:r>
          </w:p>
          <w:p w14:paraId="156574F5" w14:textId="7E3DA1E2"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Öğrenme ortamı ve kaynakları</w:t>
            </w:r>
          </w:p>
        </w:tc>
        <w:tc>
          <w:tcPr>
            <w:tcW w:w="4961" w:type="dxa"/>
            <w:tcBorders>
              <w:top w:val="single" w:sz="12" w:space="0" w:color="auto"/>
            </w:tcBorders>
            <w:shd w:val="clear" w:color="auto" w:fill="C5E0B3" w:themeFill="accent6" w:themeFillTint="66"/>
            <w:vAlign w:val="center"/>
          </w:tcPr>
          <w:p w14:paraId="1B546468" w14:textId="01B0181C" w:rsidR="00C1726B" w:rsidRPr="00B82F82" w:rsidRDefault="003338C5" w:rsidP="00C1726B">
            <w:pPr>
              <w:jc w:val="both"/>
              <w:rPr>
                <w:rFonts w:ascii="Times New Roman" w:hAnsi="Times New Roman" w:cs="Times New Roman"/>
                <w:sz w:val="20"/>
                <w:szCs w:val="20"/>
              </w:rPr>
            </w:pPr>
            <w:r w:rsidRPr="00B82F82">
              <w:rPr>
                <w:rFonts w:ascii="Times New Roman" w:hAnsi="Times New Roman" w:cs="Times New Roman"/>
                <w:sz w:val="20"/>
                <w:szCs w:val="20"/>
              </w:rPr>
              <w:t>Öğrenme kaynaklarının geliştirilmesine ve kullanımına yönelik izleme ve iyileştirilme yapılmaktadır.</w:t>
            </w:r>
          </w:p>
        </w:tc>
        <w:tc>
          <w:tcPr>
            <w:tcW w:w="709" w:type="dxa"/>
            <w:tcBorders>
              <w:top w:val="single" w:sz="12" w:space="0" w:color="auto"/>
              <w:right w:val="single" w:sz="12" w:space="0" w:color="auto"/>
            </w:tcBorders>
            <w:shd w:val="clear" w:color="auto" w:fill="C5E0B3" w:themeFill="accent6" w:themeFillTint="66"/>
            <w:vAlign w:val="center"/>
          </w:tcPr>
          <w:p w14:paraId="0F9CAC2C" w14:textId="2D0034E9"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095AFBF6" w14:textId="77777777" w:rsidTr="00C70740">
        <w:trPr>
          <w:trHeight w:val="2390"/>
        </w:trPr>
        <w:tc>
          <w:tcPr>
            <w:tcW w:w="993" w:type="dxa"/>
            <w:vMerge/>
            <w:tcBorders>
              <w:left w:val="single" w:sz="12" w:space="0" w:color="auto"/>
            </w:tcBorders>
            <w:shd w:val="clear" w:color="auto" w:fill="C5E0B3" w:themeFill="accent6" w:themeFillTint="66"/>
            <w:textDirection w:val="btLr"/>
            <w:vAlign w:val="center"/>
          </w:tcPr>
          <w:p w14:paraId="0132BFA6"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3E5EF3D3"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B.5.2. </w:t>
            </w:r>
          </w:p>
          <w:p w14:paraId="12EF0086" w14:textId="2E5CEF8E"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Sosyal, kültürel, sportif faaliyetler</w:t>
            </w:r>
          </w:p>
        </w:tc>
        <w:tc>
          <w:tcPr>
            <w:tcW w:w="4278" w:type="dxa"/>
            <w:shd w:val="clear" w:color="auto" w:fill="E2EFD9" w:themeFill="accent6" w:themeFillTint="33"/>
            <w:vAlign w:val="center"/>
          </w:tcPr>
          <w:p w14:paraId="75F3D784" w14:textId="182A75F7"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708" w:type="dxa"/>
            <w:shd w:val="clear" w:color="auto" w:fill="E2EFD9" w:themeFill="accent6" w:themeFillTint="33"/>
            <w:vAlign w:val="center"/>
          </w:tcPr>
          <w:p w14:paraId="269FC932" w14:textId="2FFC4698"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29DCC38F"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B.5.2. </w:t>
            </w:r>
          </w:p>
          <w:p w14:paraId="0FAAE6EA" w14:textId="562378C3"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Sosyal, kültürel, sportif faaliyetler</w:t>
            </w:r>
          </w:p>
        </w:tc>
        <w:tc>
          <w:tcPr>
            <w:tcW w:w="4961" w:type="dxa"/>
            <w:shd w:val="clear" w:color="auto" w:fill="C5E0B3" w:themeFill="accent6" w:themeFillTint="66"/>
            <w:vAlign w:val="center"/>
          </w:tcPr>
          <w:p w14:paraId="5AF64420" w14:textId="5B1DC2AC" w:rsidR="00C1726B" w:rsidRPr="00B82F82" w:rsidRDefault="00AF651B"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sosyal, kültürel ve sportif faaliyetler erişilebilirdir ve bunlardan fırsat eşitliğine dayalı olarak yararlanılmaktadır.</w:t>
            </w:r>
          </w:p>
        </w:tc>
        <w:tc>
          <w:tcPr>
            <w:tcW w:w="709" w:type="dxa"/>
            <w:tcBorders>
              <w:right w:val="single" w:sz="12" w:space="0" w:color="auto"/>
            </w:tcBorders>
            <w:shd w:val="clear" w:color="auto" w:fill="C5E0B3" w:themeFill="accent6" w:themeFillTint="66"/>
            <w:vAlign w:val="center"/>
          </w:tcPr>
          <w:p w14:paraId="34A06BF9" w14:textId="1546FBF3"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3B466C07" w14:textId="77777777" w:rsidTr="00C70740">
        <w:trPr>
          <w:trHeight w:val="2268"/>
        </w:trPr>
        <w:tc>
          <w:tcPr>
            <w:tcW w:w="993" w:type="dxa"/>
            <w:vMerge/>
            <w:tcBorders>
              <w:left w:val="single" w:sz="12" w:space="0" w:color="auto"/>
            </w:tcBorders>
            <w:shd w:val="clear" w:color="auto" w:fill="C5E0B3" w:themeFill="accent6" w:themeFillTint="66"/>
            <w:textDirection w:val="btLr"/>
            <w:vAlign w:val="center"/>
          </w:tcPr>
          <w:p w14:paraId="42D4D493"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6E3E2F3D"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B.5.3. </w:t>
            </w:r>
          </w:p>
          <w:p w14:paraId="79EBDFFE" w14:textId="3C002FFF"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Tesis ve altyapılar (Yemekhane, yurt, teknoloji donanımlı çalışma alanları, mediko vs.)</w:t>
            </w:r>
          </w:p>
        </w:tc>
        <w:tc>
          <w:tcPr>
            <w:tcW w:w="4278" w:type="dxa"/>
            <w:shd w:val="clear" w:color="auto" w:fill="E2EFD9" w:themeFill="accent6" w:themeFillTint="33"/>
            <w:vAlign w:val="center"/>
          </w:tcPr>
          <w:p w14:paraId="68FD163F" w14:textId="29FF0C40"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708" w:type="dxa"/>
            <w:shd w:val="clear" w:color="auto" w:fill="E2EFD9" w:themeFill="accent6" w:themeFillTint="33"/>
            <w:vAlign w:val="center"/>
          </w:tcPr>
          <w:p w14:paraId="504B5C35" w14:textId="3885B291"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08EC910B"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B.5.3. </w:t>
            </w:r>
          </w:p>
          <w:p w14:paraId="2412C1CB" w14:textId="35CCB29A"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Tesis ve altyapılar</w:t>
            </w:r>
          </w:p>
        </w:tc>
        <w:tc>
          <w:tcPr>
            <w:tcW w:w="4961" w:type="dxa"/>
            <w:shd w:val="clear" w:color="auto" w:fill="C5E0B3" w:themeFill="accent6" w:themeFillTint="66"/>
            <w:vAlign w:val="center"/>
          </w:tcPr>
          <w:p w14:paraId="761D379D" w14:textId="3C66D78E" w:rsidR="00C1726B" w:rsidRPr="00B82F82" w:rsidRDefault="00235F77" w:rsidP="00C1726B">
            <w:pPr>
              <w:jc w:val="both"/>
              <w:rPr>
                <w:rFonts w:ascii="Times New Roman" w:hAnsi="Times New Roman" w:cs="Times New Roman"/>
                <w:sz w:val="20"/>
                <w:szCs w:val="20"/>
              </w:rPr>
            </w:pPr>
            <w:r w:rsidRPr="00B82F82">
              <w:rPr>
                <w:rFonts w:ascii="Times New Roman" w:hAnsi="Times New Roman" w:cs="Times New Roman"/>
                <w:sz w:val="20"/>
                <w:szCs w:val="20"/>
              </w:rPr>
              <w:t>Tesis ve altyapının kullanımı izlenmekte ve ihtiyaçlar doğrultusunda iyileştirilmektedir.</w:t>
            </w:r>
          </w:p>
        </w:tc>
        <w:tc>
          <w:tcPr>
            <w:tcW w:w="709" w:type="dxa"/>
            <w:tcBorders>
              <w:right w:val="single" w:sz="12" w:space="0" w:color="auto"/>
            </w:tcBorders>
            <w:shd w:val="clear" w:color="auto" w:fill="C5E0B3" w:themeFill="accent6" w:themeFillTint="66"/>
            <w:vAlign w:val="center"/>
          </w:tcPr>
          <w:p w14:paraId="59EB847C" w14:textId="76851754"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20E944C0" w14:textId="77777777" w:rsidTr="00C70740">
        <w:trPr>
          <w:trHeight w:val="1266"/>
        </w:trPr>
        <w:tc>
          <w:tcPr>
            <w:tcW w:w="993" w:type="dxa"/>
            <w:vMerge/>
            <w:tcBorders>
              <w:left w:val="single" w:sz="12" w:space="0" w:color="auto"/>
            </w:tcBorders>
            <w:shd w:val="clear" w:color="auto" w:fill="C5E0B3" w:themeFill="accent6" w:themeFillTint="66"/>
            <w:textDirection w:val="btLr"/>
            <w:vAlign w:val="center"/>
          </w:tcPr>
          <w:p w14:paraId="394E3F57"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shd w:val="clear" w:color="auto" w:fill="E2EFD9" w:themeFill="accent6" w:themeFillTint="33"/>
            <w:vAlign w:val="center"/>
          </w:tcPr>
          <w:p w14:paraId="58C6F1A3"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B.5.4. </w:t>
            </w:r>
          </w:p>
          <w:p w14:paraId="09E0C0AE" w14:textId="70571B80"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Engelsiz üniversite</w:t>
            </w:r>
          </w:p>
        </w:tc>
        <w:tc>
          <w:tcPr>
            <w:tcW w:w="4278" w:type="dxa"/>
            <w:shd w:val="clear" w:color="auto" w:fill="E2EFD9" w:themeFill="accent6" w:themeFillTint="33"/>
            <w:vAlign w:val="center"/>
          </w:tcPr>
          <w:p w14:paraId="0E4C7F0C" w14:textId="79DE28BA"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Kurumdaki tüm birimlerde sağlanan engelsiz üniversite uygulamasından elde edilen bulgular sistematik olarak izlenmekte ve izlem sonuçları paydaşlarla birlikte değerlendirilerek önlemler alınmaktadır.</w:t>
            </w:r>
          </w:p>
        </w:tc>
        <w:tc>
          <w:tcPr>
            <w:tcW w:w="708" w:type="dxa"/>
            <w:shd w:val="clear" w:color="auto" w:fill="E2EFD9" w:themeFill="accent6" w:themeFillTint="33"/>
            <w:vAlign w:val="center"/>
          </w:tcPr>
          <w:p w14:paraId="27B2ACCD" w14:textId="5ACD7110"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C5E0B3" w:themeFill="accent6" w:themeFillTint="66"/>
            <w:vAlign w:val="center"/>
          </w:tcPr>
          <w:p w14:paraId="444AC78B"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B.5.4. </w:t>
            </w:r>
          </w:p>
          <w:p w14:paraId="0B875D43" w14:textId="0422C0CA"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Engelsiz üniversite</w:t>
            </w:r>
          </w:p>
        </w:tc>
        <w:tc>
          <w:tcPr>
            <w:tcW w:w="4961" w:type="dxa"/>
            <w:shd w:val="clear" w:color="auto" w:fill="C5E0B3" w:themeFill="accent6" w:themeFillTint="66"/>
            <w:vAlign w:val="center"/>
          </w:tcPr>
          <w:p w14:paraId="0C9C0C38" w14:textId="6D8BA172" w:rsidR="00C1726B" w:rsidRPr="00B82F82" w:rsidRDefault="00235F77" w:rsidP="00C1726B">
            <w:pPr>
              <w:jc w:val="both"/>
              <w:rPr>
                <w:rFonts w:ascii="Times New Roman" w:hAnsi="Times New Roman" w:cs="Times New Roman"/>
                <w:sz w:val="20"/>
                <w:szCs w:val="20"/>
              </w:rPr>
            </w:pPr>
            <w:r w:rsidRPr="00B82F82">
              <w:rPr>
                <w:rFonts w:ascii="Times New Roman" w:hAnsi="Times New Roman" w:cs="Times New Roman"/>
                <w:sz w:val="20"/>
                <w:szCs w:val="20"/>
              </w:rPr>
              <w:t>Engelsiz üniversite uygulamaları izlenmekte ve dezavantajlı grupların görüşleri de alınarak iyileştirilmektedir.</w:t>
            </w:r>
          </w:p>
        </w:tc>
        <w:tc>
          <w:tcPr>
            <w:tcW w:w="709" w:type="dxa"/>
            <w:tcBorders>
              <w:right w:val="single" w:sz="12" w:space="0" w:color="auto"/>
            </w:tcBorders>
            <w:shd w:val="clear" w:color="auto" w:fill="C5E0B3" w:themeFill="accent6" w:themeFillTint="66"/>
            <w:vAlign w:val="center"/>
          </w:tcPr>
          <w:p w14:paraId="598D685B" w14:textId="03D60840"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75B3A6A7" w14:textId="77777777" w:rsidTr="00C70740">
        <w:tc>
          <w:tcPr>
            <w:tcW w:w="993" w:type="dxa"/>
            <w:vMerge/>
            <w:tcBorders>
              <w:left w:val="single" w:sz="12" w:space="0" w:color="auto"/>
              <w:bottom w:val="single" w:sz="12" w:space="0" w:color="auto"/>
            </w:tcBorders>
            <w:shd w:val="clear" w:color="auto" w:fill="C5E0B3" w:themeFill="accent6" w:themeFillTint="66"/>
            <w:textDirection w:val="btLr"/>
            <w:vAlign w:val="center"/>
          </w:tcPr>
          <w:p w14:paraId="4265E543"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p>
        </w:tc>
        <w:tc>
          <w:tcPr>
            <w:tcW w:w="1963" w:type="dxa"/>
            <w:tcBorders>
              <w:bottom w:val="single" w:sz="12" w:space="0" w:color="auto"/>
            </w:tcBorders>
            <w:shd w:val="clear" w:color="auto" w:fill="E2EFD9" w:themeFill="accent6" w:themeFillTint="33"/>
            <w:vAlign w:val="center"/>
          </w:tcPr>
          <w:p w14:paraId="48E9FCA4"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B.5.5. </w:t>
            </w:r>
          </w:p>
          <w:p w14:paraId="5A1922BD" w14:textId="6F451956"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Rehberlik, psikolojik danışmanlık ve kariyer hizmetler</w:t>
            </w:r>
          </w:p>
        </w:tc>
        <w:tc>
          <w:tcPr>
            <w:tcW w:w="4278" w:type="dxa"/>
            <w:tcBorders>
              <w:bottom w:val="single" w:sz="12" w:space="0" w:color="auto"/>
            </w:tcBorders>
            <w:shd w:val="clear" w:color="auto" w:fill="E2EFD9" w:themeFill="accent6" w:themeFillTint="33"/>
            <w:vAlign w:val="center"/>
          </w:tcPr>
          <w:p w14:paraId="11569FFA" w14:textId="6A4F509A"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Kurumdaki 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w:t>
            </w:r>
          </w:p>
        </w:tc>
        <w:tc>
          <w:tcPr>
            <w:tcW w:w="708" w:type="dxa"/>
            <w:tcBorders>
              <w:bottom w:val="single" w:sz="12" w:space="0" w:color="auto"/>
            </w:tcBorders>
            <w:shd w:val="clear" w:color="auto" w:fill="E2EFD9" w:themeFill="accent6" w:themeFillTint="33"/>
            <w:vAlign w:val="center"/>
          </w:tcPr>
          <w:p w14:paraId="43440233" w14:textId="7FD425B8"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C5E0B3" w:themeFill="accent6" w:themeFillTint="66"/>
            <w:vAlign w:val="center"/>
          </w:tcPr>
          <w:p w14:paraId="3DEB889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B.5.5. </w:t>
            </w:r>
          </w:p>
          <w:p w14:paraId="30FDE227" w14:textId="09132127"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Psikolojik danışmanlık ve kariyer hizmetleri</w:t>
            </w:r>
          </w:p>
        </w:tc>
        <w:tc>
          <w:tcPr>
            <w:tcW w:w="4961" w:type="dxa"/>
            <w:tcBorders>
              <w:bottom w:val="single" w:sz="12" w:space="0" w:color="auto"/>
            </w:tcBorders>
            <w:shd w:val="clear" w:color="auto" w:fill="C5E0B3" w:themeFill="accent6" w:themeFillTint="66"/>
            <w:vAlign w:val="center"/>
          </w:tcPr>
          <w:p w14:paraId="23154A34" w14:textId="10CA6449" w:rsidR="00C1726B" w:rsidRPr="00B82F82" w:rsidRDefault="00A922EF"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planlamalar dahilinde psikolojik danışmanlık ve kariyer hizmetleri uygulanmaktadır.</w:t>
            </w:r>
          </w:p>
        </w:tc>
        <w:tc>
          <w:tcPr>
            <w:tcW w:w="709" w:type="dxa"/>
            <w:tcBorders>
              <w:bottom w:val="single" w:sz="12" w:space="0" w:color="auto"/>
              <w:right w:val="single" w:sz="12" w:space="0" w:color="auto"/>
            </w:tcBorders>
            <w:shd w:val="clear" w:color="auto" w:fill="C5E0B3" w:themeFill="accent6" w:themeFillTint="66"/>
            <w:vAlign w:val="center"/>
          </w:tcPr>
          <w:p w14:paraId="02CC610B" w14:textId="0FE313BF"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26997340" w14:textId="77777777" w:rsidTr="00C70740">
        <w:trPr>
          <w:trHeight w:val="1686"/>
        </w:trPr>
        <w:tc>
          <w:tcPr>
            <w:tcW w:w="993" w:type="dxa"/>
            <w:vMerge w:val="restart"/>
            <w:tcBorders>
              <w:top w:val="single" w:sz="12" w:space="0" w:color="auto"/>
              <w:left w:val="single" w:sz="12" w:space="0" w:color="auto"/>
            </w:tcBorders>
            <w:shd w:val="clear" w:color="auto" w:fill="A8D08D" w:themeFill="accent6" w:themeFillTint="99"/>
            <w:textDirection w:val="btLr"/>
            <w:vAlign w:val="center"/>
          </w:tcPr>
          <w:p w14:paraId="1832C626" w14:textId="77777777"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lastRenderedPageBreak/>
              <w:t xml:space="preserve">B.6. </w:t>
            </w:r>
          </w:p>
          <w:p w14:paraId="37123D73" w14:textId="3D4B98D4" w:rsidR="00C1726B" w:rsidRPr="00C70740" w:rsidRDefault="00C1726B" w:rsidP="00C1726B">
            <w:pPr>
              <w:ind w:left="113" w:right="113"/>
              <w:jc w:val="center"/>
              <w:rPr>
                <w:rFonts w:ascii="Times New Roman" w:hAnsi="Times New Roman" w:cs="Times New Roman"/>
                <w:b/>
                <w:bCs/>
                <w:color w:val="000000" w:themeColor="text1"/>
                <w:sz w:val="20"/>
                <w:szCs w:val="20"/>
              </w:rPr>
            </w:pPr>
            <w:r w:rsidRPr="00C70740">
              <w:rPr>
                <w:rFonts w:ascii="Times New Roman" w:hAnsi="Times New Roman" w:cs="Times New Roman"/>
                <w:b/>
                <w:bCs/>
                <w:color w:val="000000" w:themeColor="text1"/>
                <w:sz w:val="20"/>
                <w:szCs w:val="20"/>
              </w:rPr>
              <w:t>Programların İzlenmesi ve Güncellenme</w:t>
            </w:r>
          </w:p>
        </w:tc>
        <w:tc>
          <w:tcPr>
            <w:tcW w:w="1963" w:type="dxa"/>
            <w:tcBorders>
              <w:top w:val="single" w:sz="12" w:space="0" w:color="auto"/>
            </w:tcBorders>
            <w:shd w:val="clear" w:color="auto" w:fill="E2EFD9" w:themeFill="accent6" w:themeFillTint="33"/>
            <w:vAlign w:val="center"/>
          </w:tcPr>
          <w:p w14:paraId="756083F3"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B.6.1. </w:t>
            </w:r>
          </w:p>
          <w:p w14:paraId="51CC25D0" w14:textId="60E6127F"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Program çıktılarının izlenmesi ve güncellenmesi (Hazırlık okullarındaki dil eğitim programlarını da kapsamaktadır.)</w:t>
            </w:r>
          </w:p>
        </w:tc>
        <w:tc>
          <w:tcPr>
            <w:tcW w:w="4278" w:type="dxa"/>
            <w:tcBorders>
              <w:top w:val="single" w:sz="12" w:space="0" w:color="auto"/>
            </w:tcBorders>
            <w:shd w:val="clear" w:color="auto" w:fill="E2EFD9" w:themeFill="accent6" w:themeFillTint="33"/>
            <w:vAlign w:val="center"/>
          </w:tcPr>
          <w:p w14:paraId="1FD38FE1" w14:textId="0FC4C1B3"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w:t>
            </w:r>
          </w:p>
        </w:tc>
        <w:tc>
          <w:tcPr>
            <w:tcW w:w="708" w:type="dxa"/>
            <w:tcBorders>
              <w:top w:val="single" w:sz="12" w:space="0" w:color="auto"/>
            </w:tcBorders>
            <w:shd w:val="clear" w:color="auto" w:fill="E2EFD9" w:themeFill="accent6" w:themeFillTint="33"/>
            <w:vAlign w:val="center"/>
          </w:tcPr>
          <w:p w14:paraId="1243731F" w14:textId="0A47AE99"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C5E0B3" w:themeFill="accent6" w:themeFillTint="66"/>
            <w:vAlign w:val="center"/>
          </w:tcPr>
          <w:p w14:paraId="029B40AD"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B.6.1. </w:t>
            </w:r>
          </w:p>
          <w:p w14:paraId="3AF30BBB" w14:textId="18FED0C1"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Program çıktılarının izlenmesi ve güncellenmesi</w:t>
            </w:r>
          </w:p>
        </w:tc>
        <w:tc>
          <w:tcPr>
            <w:tcW w:w="4961" w:type="dxa"/>
            <w:tcBorders>
              <w:top w:val="single" w:sz="12" w:space="0" w:color="auto"/>
            </w:tcBorders>
            <w:shd w:val="clear" w:color="auto" w:fill="C5E0B3" w:themeFill="accent6" w:themeFillTint="66"/>
            <w:vAlign w:val="center"/>
          </w:tcPr>
          <w:p w14:paraId="40A43192" w14:textId="62E542B0" w:rsidR="00C1726B" w:rsidRPr="00B82F82" w:rsidRDefault="00F31F62" w:rsidP="00C1726B">
            <w:pPr>
              <w:jc w:val="both"/>
              <w:rPr>
                <w:rFonts w:ascii="Times New Roman" w:hAnsi="Times New Roman" w:cs="Times New Roman"/>
                <w:sz w:val="20"/>
                <w:szCs w:val="20"/>
              </w:rPr>
            </w:pPr>
            <w:r w:rsidRPr="00B82F82">
              <w:rPr>
                <w:rFonts w:ascii="Times New Roman" w:hAnsi="Times New Roman" w:cs="Times New Roman"/>
                <w:sz w:val="20"/>
                <w:szCs w:val="20"/>
              </w:rPr>
              <w:t>Program çıktıları bu mekanizmalar ile izlenmekte ve ilgili paydaşların görüşleri de alınarak güncellenmektedir.</w:t>
            </w:r>
          </w:p>
        </w:tc>
        <w:tc>
          <w:tcPr>
            <w:tcW w:w="709" w:type="dxa"/>
            <w:tcBorders>
              <w:top w:val="single" w:sz="12" w:space="0" w:color="auto"/>
              <w:right w:val="single" w:sz="12" w:space="0" w:color="auto"/>
            </w:tcBorders>
            <w:shd w:val="clear" w:color="auto" w:fill="C5E0B3" w:themeFill="accent6" w:themeFillTint="66"/>
            <w:vAlign w:val="center"/>
          </w:tcPr>
          <w:p w14:paraId="760E888D" w14:textId="190CE80B"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4F20ECC9" w14:textId="77777777" w:rsidTr="00C70740">
        <w:trPr>
          <w:trHeight w:val="1270"/>
        </w:trPr>
        <w:tc>
          <w:tcPr>
            <w:tcW w:w="993" w:type="dxa"/>
            <w:vMerge/>
            <w:tcBorders>
              <w:left w:val="single" w:sz="12" w:space="0" w:color="auto"/>
              <w:bottom w:val="single" w:sz="12" w:space="0" w:color="auto"/>
            </w:tcBorders>
            <w:shd w:val="clear" w:color="auto" w:fill="A8D08D" w:themeFill="accent6" w:themeFillTint="99"/>
            <w:textDirection w:val="btLr"/>
            <w:vAlign w:val="center"/>
          </w:tcPr>
          <w:p w14:paraId="0DE5057E"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E2EFD9" w:themeFill="accent6" w:themeFillTint="33"/>
            <w:vAlign w:val="center"/>
          </w:tcPr>
          <w:p w14:paraId="55EC0962"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B.6.2. </w:t>
            </w:r>
          </w:p>
          <w:p w14:paraId="261066A0" w14:textId="1A47F76E"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Mezun izleme sistemi</w:t>
            </w:r>
          </w:p>
        </w:tc>
        <w:tc>
          <w:tcPr>
            <w:tcW w:w="4278" w:type="dxa"/>
            <w:tcBorders>
              <w:bottom w:val="single" w:sz="12" w:space="0" w:color="auto"/>
            </w:tcBorders>
            <w:shd w:val="clear" w:color="auto" w:fill="E2EFD9" w:themeFill="accent6" w:themeFillTint="33"/>
            <w:vAlign w:val="center"/>
          </w:tcPr>
          <w:p w14:paraId="5E3DD646" w14:textId="77394209"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Mezun izleme sistemine ilişkin tüm programları kapsayan uygulamalar vardır ve bunlardan bazı sonuçlar elde edilmiştir. Ancak bu sonuçların değerlendirilmesi ve karar almalarda kullanılması gerçekleştirilmemiştir.</w:t>
            </w:r>
          </w:p>
        </w:tc>
        <w:tc>
          <w:tcPr>
            <w:tcW w:w="708" w:type="dxa"/>
            <w:tcBorders>
              <w:bottom w:val="single" w:sz="12" w:space="0" w:color="auto"/>
            </w:tcBorders>
            <w:shd w:val="clear" w:color="auto" w:fill="E2EFD9" w:themeFill="accent6" w:themeFillTint="33"/>
            <w:vAlign w:val="center"/>
          </w:tcPr>
          <w:p w14:paraId="05522695" w14:textId="6AA746BB"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bottom w:val="single" w:sz="12" w:space="0" w:color="auto"/>
            </w:tcBorders>
            <w:shd w:val="clear" w:color="auto" w:fill="C5E0B3" w:themeFill="accent6" w:themeFillTint="66"/>
            <w:vAlign w:val="center"/>
          </w:tcPr>
          <w:p w14:paraId="010C224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B.6.2. </w:t>
            </w:r>
          </w:p>
          <w:p w14:paraId="7383CC77" w14:textId="5214BFBA"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Mezun izleme sistemi</w:t>
            </w:r>
          </w:p>
        </w:tc>
        <w:tc>
          <w:tcPr>
            <w:tcW w:w="4961" w:type="dxa"/>
            <w:tcBorders>
              <w:bottom w:val="single" w:sz="12" w:space="0" w:color="auto"/>
            </w:tcBorders>
            <w:shd w:val="clear" w:color="auto" w:fill="C5E0B3" w:themeFill="accent6" w:themeFillTint="66"/>
            <w:vAlign w:val="center"/>
          </w:tcPr>
          <w:p w14:paraId="3B9ECBDD" w14:textId="34453CDC" w:rsidR="00C1726B" w:rsidRPr="00B82F82" w:rsidRDefault="006038DA" w:rsidP="00C1726B">
            <w:pPr>
              <w:jc w:val="both"/>
              <w:rPr>
                <w:rFonts w:ascii="Times New Roman" w:hAnsi="Times New Roman" w:cs="Times New Roman"/>
                <w:sz w:val="20"/>
                <w:szCs w:val="20"/>
              </w:rPr>
            </w:pPr>
            <w:r w:rsidRPr="00B82F82">
              <w:rPr>
                <w:rFonts w:ascii="Times New Roman" w:hAnsi="Times New Roman" w:cs="Times New Roman"/>
                <w:sz w:val="20"/>
                <w:szCs w:val="20"/>
              </w:rPr>
              <w:t>Kurumdaki programların genelinde mezun izleme sistemi uygulamaları vardır.</w:t>
            </w:r>
          </w:p>
        </w:tc>
        <w:tc>
          <w:tcPr>
            <w:tcW w:w="709" w:type="dxa"/>
            <w:tcBorders>
              <w:bottom w:val="single" w:sz="12" w:space="0" w:color="auto"/>
              <w:right w:val="single" w:sz="12" w:space="0" w:color="auto"/>
            </w:tcBorders>
            <w:shd w:val="clear" w:color="auto" w:fill="C5E0B3" w:themeFill="accent6" w:themeFillTint="66"/>
            <w:vAlign w:val="center"/>
          </w:tcPr>
          <w:p w14:paraId="55FFBDCB" w14:textId="498AEFBB"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B58123D" w14:textId="77777777" w:rsidTr="00C70740">
        <w:trPr>
          <w:trHeight w:val="1544"/>
        </w:trPr>
        <w:tc>
          <w:tcPr>
            <w:tcW w:w="993" w:type="dxa"/>
            <w:vMerge w:val="restart"/>
            <w:tcBorders>
              <w:top w:val="single" w:sz="12" w:space="0" w:color="auto"/>
              <w:left w:val="single" w:sz="12" w:space="0" w:color="auto"/>
            </w:tcBorders>
            <w:shd w:val="clear" w:color="auto" w:fill="FFE599" w:themeFill="accent4" w:themeFillTint="66"/>
            <w:textDirection w:val="btLr"/>
            <w:vAlign w:val="center"/>
          </w:tcPr>
          <w:p w14:paraId="636DB034"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C.1. </w:t>
            </w:r>
          </w:p>
          <w:p w14:paraId="474AE69F" w14:textId="6EE85E11"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Araştırma Stratejisi</w:t>
            </w:r>
          </w:p>
        </w:tc>
        <w:tc>
          <w:tcPr>
            <w:tcW w:w="1963" w:type="dxa"/>
            <w:tcBorders>
              <w:top w:val="single" w:sz="12" w:space="0" w:color="auto"/>
            </w:tcBorders>
            <w:shd w:val="clear" w:color="auto" w:fill="FFF2CC" w:themeFill="accent4" w:themeFillTint="33"/>
            <w:vAlign w:val="center"/>
          </w:tcPr>
          <w:p w14:paraId="32B6E7CF"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C.1.1. </w:t>
            </w:r>
          </w:p>
          <w:p w14:paraId="1F7E30AA" w14:textId="1A75C297"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Kurumun araştırma politikası, hedefleri ve stratejisi</w:t>
            </w:r>
          </w:p>
        </w:tc>
        <w:tc>
          <w:tcPr>
            <w:tcW w:w="4278" w:type="dxa"/>
            <w:tcBorders>
              <w:top w:val="single" w:sz="12" w:space="0" w:color="auto"/>
            </w:tcBorders>
            <w:shd w:val="clear" w:color="auto" w:fill="FFF2CC" w:themeFill="accent4" w:themeFillTint="33"/>
            <w:vAlign w:val="center"/>
          </w:tcPr>
          <w:p w14:paraId="471DA780" w14:textId="64ECFF3B"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birimler tarafından benimsenmiş araştırma politikası, stratejisi ve hedefleri ile ilgili uygulamalar, sistematik olarak izlenmekte ve izlem sonuçlarına göre tüm alanları ve programları kapsayan önlemler alınmaktadır.</w:t>
            </w:r>
          </w:p>
        </w:tc>
        <w:tc>
          <w:tcPr>
            <w:tcW w:w="708" w:type="dxa"/>
            <w:tcBorders>
              <w:top w:val="single" w:sz="12" w:space="0" w:color="auto"/>
            </w:tcBorders>
            <w:shd w:val="clear" w:color="auto" w:fill="FFF2CC" w:themeFill="accent4" w:themeFillTint="33"/>
            <w:vAlign w:val="center"/>
          </w:tcPr>
          <w:p w14:paraId="57AFA6C0" w14:textId="73087324"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FFE599" w:themeFill="accent4" w:themeFillTint="66"/>
            <w:vAlign w:val="center"/>
          </w:tcPr>
          <w:p w14:paraId="6D8D0954"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C.1.1. </w:t>
            </w:r>
          </w:p>
          <w:p w14:paraId="3CA44578" w14:textId="3B7AB560"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Kurumun araştırma politikası, hedefleri ve stratejisi</w:t>
            </w:r>
          </w:p>
        </w:tc>
        <w:tc>
          <w:tcPr>
            <w:tcW w:w="4961" w:type="dxa"/>
            <w:tcBorders>
              <w:top w:val="single" w:sz="12" w:space="0" w:color="auto"/>
            </w:tcBorders>
            <w:shd w:val="clear" w:color="auto" w:fill="FFE599" w:themeFill="accent4" w:themeFillTint="66"/>
            <w:vAlign w:val="center"/>
          </w:tcPr>
          <w:p w14:paraId="089CF802" w14:textId="1AAFB89E"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politikası, stratejisi ve hedefleri ile ilgili uygulamalar izlenmekte ve izlem sonuçlarına göre önlemler alınmaktadır.</w:t>
            </w:r>
          </w:p>
        </w:tc>
        <w:tc>
          <w:tcPr>
            <w:tcW w:w="709" w:type="dxa"/>
            <w:tcBorders>
              <w:top w:val="single" w:sz="12" w:space="0" w:color="auto"/>
              <w:right w:val="single" w:sz="12" w:space="0" w:color="auto"/>
            </w:tcBorders>
            <w:shd w:val="clear" w:color="auto" w:fill="FFE599" w:themeFill="accent4" w:themeFillTint="66"/>
            <w:vAlign w:val="center"/>
          </w:tcPr>
          <w:p w14:paraId="08E3198E" w14:textId="428E1EFF"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7B7AC649" w14:textId="77777777" w:rsidTr="00C70740">
        <w:trPr>
          <w:trHeight w:val="1410"/>
        </w:trPr>
        <w:tc>
          <w:tcPr>
            <w:tcW w:w="993" w:type="dxa"/>
            <w:vMerge/>
            <w:tcBorders>
              <w:left w:val="single" w:sz="12" w:space="0" w:color="auto"/>
            </w:tcBorders>
            <w:shd w:val="clear" w:color="auto" w:fill="FFE599" w:themeFill="accent4" w:themeFillTint="66"/>
            <w:textDirection w:val="btLr"/>
            <w:vAlign w:val="center"/>
          </w:tcPr>
          <w:p w14:paraId="23113241"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shd w:val="clear" w:color="auto" w:fill="FFF2CC" w:themeFill="accent4" w:themeFillTint="33"/>
            <w:vAlign w:val="center"/>
          </w:tcPr>
          <w:p w14:paraId="00977893"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C.1.2 </w:t>
            </w:r>
          </w:p>
          <w:p w14:paraId="65C1BCBB" w14:textId="3F642976"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Araştırma-Geliştirme süreçlerinin yönetimi ve organizasyonel yapısı</w:t>
            </w:r>
          </w:p>
        </w:tc>
        <w:tc>
          <w:tcPr>
            <w:tcW w:w="4278" w:type="dxa"/>
            <w:shd w:val="clear" w:color="auto" w:fill="FFF2CC" w:themeFill="accent4" w:themeFillTint="33"/>
            <w:vAlign w:val="center"/>
          </w:tcPr>
          <w:p w14:paraId="547238F6" w14:textId="6797BBDB"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araştırma-geliştirme süreçlerinin yönetimi ile ilişkili sonuçlar ve paydaş görüşleri sistematik olarak izlenmekte ve paydaşlarla birlikte değerlendirilerek önlemler alınmaktadır.</w:t>
            </w:r>
          </w:p>
        </w:tc>
        <w:tc>
          <w:tcPr>
            <w:tcW w:w="708" w:type="dxa"/>
            <w:shd w:val="clear" w:color="auto" w:fill="FFF2CC" w:themeFill="accent4" w:themeFillTint="33"/>
            <w:vAlign w:val="center"/>
          </w:tcPr>
          <w:p w14:paraId="3D0005D7" w14:textId="430E9F91"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FFE599" w:themeFill="accent4" w:themeFillTint="66"/>
            <w:vAlign w:val="center"/>
          </w:tcPr>
          <w:p w14:paraId="61FDCD04"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C.1.2. </w:t>
            </w:r>
          </w:p>
          <w:p w14:paraId="66D46DC3" w14:textId="299C0879"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Araştırma-geliştirme süreçlerinin yönetimi ve organizasyonel yapısı</w:t>
            </w:r>
          </w:p>
        </w:tc>
        <w:tc>
          <w:tcPr>
            <w:tcW w:w="4961" w:type="dxa"/>
            <w:shd w:val="clear" w:color="auto" w:fill="FFE599" w:themeFill="accent4" w:themeFillTint="66"/>
            <w:vAlign w:val="center"/>
          </w:tcPr>
          <w:p w14:paraId="44ECE617" w14:textId="0C2CA580"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araştırma-geliştirme süreçlerinin yönetimi ve organizasyonel yapısının işlerliği ile ilişkili sonuçlar izlenmekte ve önlemler alınmaktadır.</w:t>
            </w:r>
          </w:p>
        </w:tc>
        <w:tc>
          <w:tcPr>
            <w:tcW w:w="709" w:type="dxa"/>
            <w:tcBorders>
              <w:right w:val="single" w:sz="12" w:space="0" w:color="auto"/>
            </w:tcBorders>
            <w:shd w:val="clear" w:color="auto" w:fill="FFE599" w:themeFill="accent4" w:themeFillTint="66"/>
            <w:vAlign w:val="center"/>
          </w:tcPr>
          <w:p w14:paraId="4F43EA27" w14:textId="570F9D0B"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18A006D9" w14:textId="77777777" w:rsidTr="00C70740">
        <w:trPr>
          <w:trHeight w:val="1544"/>
        </w:trPr>
        <w:tc>
          <w:tcPr>
            <w:tcW w:w="993" w:type="dxa"/>
            <w:vMerge/>
            <w:tcBorders>
              <w:left w:val="single" w:sz="12" w:space="0" w:color="auto"/>
              <w:bottom w:val="single" w:sz="12" w:space="0" w:color="auto"/>
            </w:tcBorders>
            <w:shd w:val="clear" w:color="auto" w:fill="FFE599" w:themeFill="accent4" w:themeFillTint="66"/>
            <w:textDirection w:val="btLr"/>
            <w:vAlign w:val="center"/>
          </w:tcPr>
          <w:p w14:paraId="0DD62D5F"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FFF2CC" w:themeFill="accent4" w:themeFillTint="33"/>
            <w:vAlign w:val="center"/>
          </w:tcPr>
          <w:p w14:paraId="77CB4352"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C.1.3. </w:t>
            </w:r>
          </w:p>
          <w:p w14:paraId="6C975E1D" w14:textId="12B2FE1C"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Araştırmaların yerel/ bölgesel/ ulusal kalkınma hedefleriyle ilişkisi</w:t>
            </w:r>
          </w:p>
        </w:tc>
        <w:tc>
          <w:tcPr>
            <w:tcW w:w="4278" w:type="dxa"/>
            <w:tcBorders>
              <w:bottom w:val="single" w:sz="12" w:space="0" w:color="auto"/>
            </w:tcBorders>
            <w:shd w:val="clear" w:color="auto" w:fill="FFF2CC" w:themeFill="accent4" w:themeFillTint="33"/>
            <w:vAlign w:val="center"/>
          </w:tcPr>
          <w:p w14:paraId="06027F1E" w14:textId="7C1C207E"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araştırma çıktıları; yerel, bölgesel ve ulusal kalkınma hedefleriyle ilişkili olarak sistematik ve kurumun iç kalite güvencesi sistemiyle uyumlu olarak izlenmekte ve izlem sonuçlarını paydaşlarla birlikte değerlendirilerek önlem alınmaktadır.</w:t>
            </w:r>
          </w:p>
        </w:tc>
        <w:tc>
          <w:tcPr>
            <w:tcW w:w="708" w:type="dxa"/>
            <w:tcBorders>
              <w:bottom w:val="single" w:sz="12" w:space="0" w:color="auto"/>
            </w:tcBorders>
            <w:shd w:val="clear" w:color="auto" w:fill="FFF2CC" w:themeFill="accent4" w:themeFillTint="33"/>
            <w:vAlign w:val="center"/>
          </w:tcPr>
          <w:p w14:paraId="28D349B0" w14:textId="5E1776B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FFE599" w:themeFill="accent4" w:themeFillTint="66"/>
            <w:vAlign w:val="center"/>
          </w:tcPr>
          <w:p w14:paraId="4CB19012"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C.1.3. </w:t>
            </w:r>
          </w:p>
          <w:p w14:paraId="20C1F152" w14:textId="0B47631A"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Araştırmaların yerel/bölgesel/ulusal kalkınma hedefleriyle ilişkisi</w:t>
            </w:r>
          </w:p>
        </w:tc>
        <w:tc>
          <w:tcPr>
            <w:tcW w:w="4961" w:type="dxa"/>
            <w:tcBorders>
              <w:bottom w:val="single" w:sz="12" w:space="0" w:color="auto"/>
            </w:tcBorders>
            <w:shd w:val="clear" w:color="auto" w:fill="FFE599" w:themeFill="accent4" w:themeFillTint="66"/>
            <w:vAlign w:val="center"/>
          </w:tcPr>
          <w:p w14:paraId="4CBEA9B9" w14:textId="34216B37"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çıktıları izlenmekte ve izlem sonuçları yerel, bölgesel ve ulusal kalkınma hedefleriyle ilişkili olarak iyileştirilmektedir.</w:t>
            </w:r>
          </w:p>
        </w:tc>
        <w:tc>
          <w:tcPr>
            <w:tcW w:w="709" w:type="dxa"/>
            <w:tcBorders>
              <w:bottom w:val="single" w:sz="12" w:space="0" w:color="auto"/>
              <w:right w:val="single" w:sz="12" w:space="0" w:color="auto"/>
            </w:tcBorders>
            <w:shd w:val="clear" w:color="auto" w:fill="FFE599" w:themeFill="accent4" w:themeFillTint="66"/>
            <w:vAlign w:val="center"/>
          </w:tcPr>
          <w:p w14:paraId="4981EE4E" w14:textId="27D5C4D1"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56EB998E" w14:textId="77777777" w:rsidTr="00C70740">
        <w:trPr>
          <w:trHeight w:val="2274"/>
        </w:trPr>
        <w:tc>
          <w:tcPr>
            <w:tcW w:w="993" w:type="dxa"/>
            <w:vMerge w:val="restart"/>
            <w:tcBorders>
              <w:top w:val="single" w:sz="12" w:space="0" w:color="auto"/>
              <w:left w:val="single" w:sz="12" w:space="0" w:color="auto"/>
            </w:tcBorders>
            <w:shd w:val="clear" w:color="auto" w:fill="FFE599" w:themeFill="accent4" w:themeFillTint="66"/>
            <w:textDirection w:val="btLr"/>
            <w:vAlign w:val="center"/>
          </w:tcPr>
          <w:p w14:paraId="6111F8F2" w14:textId="4AA84899"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lastRenderedPageBreak/>
              <w:t>C.2.</w:t>
            </w:r>
          </w:p>
          <w:p w14:paraId="01AA2532" w14:textId="020DA8D1"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Araştırma Kaynakları</w:t>
            </w:r>
          </w:p>
        </w:tc>
        <w:tc>
          <w:tcPr>
            <w:tcW w:w="1963" w:type="dxa"/>
            <w:tcBorders>
              <w:top w:val="single" w:sz="12" w:space="0" w:color="auto"/>
            </w:tcBorders>
            <w:shd w:val="clear" w:color="auto" w:fill="FFF2CC" w:themeFill="accent4" w:themeFillTint="33"/>
            <w:vAlign w:val="center"/>
          </w:tcPr>
          <w:p w14:paraId="515815CF"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C.2.1. </w:t>
            </w:r>
          </w:p>
          <w:p w14:paraId="7761B2F9" w14:textId="4BE2A81C"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Araştırma kaynakları: fiziki, teknik, mali</w:t>
            </w:r>
          </w:p>
        </w:tc>
        <w:tc>
          <w:tcPr>
            <w:tcW w:w="4278" w:type="dxa"/>
            <w:tcBorders>
              <w:top w:val="single" w:sz="12" w:space="0" w:color="auto"/>
            </w:tcBorders>
            <w:shd w:val="clear" w:color="auto" w:fill="FFF2CC" w:themeFill="accent4" w:themeFillTint="33"/>
            <w:vAlign w:val="center"/>
          </w:tcPr>
          <w:p w14:paraId="7A1BE30E" w14:textId="78916F3E"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araştırma kaynakları, öncelikli araştırma alanlarını 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708" w:type="dxa"/>
            <w:tcBorders>
              <w:top w:val="single" w:sz="12" w:space="0" w:color="auto"/>
            </w:tcBorders>
            <w:shd w:val="clear" w:color="auto" w:fill="FFF2CC" w:themeFill="accent4" w:themeFillTint="33"/>
            <w:vAlign w:val="center"/>
          </w:tcPr>
          <w:p w14:paraId="1AE28B58" w14:textId="7E659328"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FFE599" w:themeFill="accent4" w:themeFillTint="66"/>
            <w:vAlign w:val="center"/>
          </w:tcPr>
          <w:p w14:paraId="13C6E0F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C.2.1. </w:t>
            </w:r>
          </w:p>
          <w:p w14:paraId="5EDAE526" w14:textId="49C488F4"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Araştırma kaynakları</w:t>
            </w:r>
          </w:p>
        </w:tc>
        <w:tc>
          <w:tcPr>
            <w:tcW w:w="4961" w:type="dxa"/>
            <w:tcBorders>
              <w:top w:val="single" w:sz="12" w:space="0" w:color="auto"/>
            </w:tcBorders>
            <w:shd w:val="clear" w:color="auto" w:fill="FFE599" w:themeFill="accent4" w:themeFillTint="66"/>
            <w:vAlign w:val="center"/>
          </w:tcPr>
          <w:p w14:paraId="0008812B" w14:textId="72167C3A"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kaynaklarının yeterliliği ve çeşitliliği izlenmekte ve iyileştirilmektedir.</w:t>
            </w:r>
          </w:p>
        </w:tc>
        <w:tc>
          <w:tcPr>
            <w:tcW w:w="709" w:type="dxa"/>
            <w:tcBorders>
              <w:top w:val="single" w:sz="12" w:space="0" w:color="auto"/>
              <w:right w:val="single" w:sz="12" w:space="0" w:color="auto"/>
            </w:tcBorders>
            <w:shd w:val="clear" w:color="auto" w:fill="FFE599" w:themeFill="accent4" w:themeFillTint="66"/>
            <w:vAlign w:val="center"/>
          </w:tcPr>
          <w:p w14:paraId="61500C10" w14:textId="011AF686"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4810F7EA" w14:textId="77777777" w:rsidTr="00C70740">
        <w:trPr>
          <w:trHeight w:val="1967"/>
        </w:trPr>
        <w:tc>
          <w:tcPr>
            <w:tcW w:w="993" w:type="dxa"/>
            <w:vMerge/>
            <w:tcBorders>
              <w:left w:val="single" w:sz="12" w:space="0" w:color="auto"/>
            </w:tcBorders>
            <w:shd w:val="clear" w:color="auto" w:fill="FFE599" w:themeFill="accent4" w:themeFillTint="66"/>
            <w:textDirection w:val="btLr"/>
            <w:vAlign w:val="center"/>
          </w:tcPr>
          <w:p w14:paraId="59CE16FC"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shd w:val="clear" w:color="auto" w:fill="FFF2CC" w:themeFill="accent4" w:themeFillTint="33"/>
            <w:vAlign w:val="center"/>
          </w:tcPr>
          <w:p w14:paraId="11183E12"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C.2.2. </w:t>
            </w:r>
          </w:p>
          <w:p w14:paraId="52549E62" w14:textId="12ACFAA5"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Üniversite içi kaynaklar (BAP)</w:t>
            </w:r>
          </w:p>
        </w:tc>
        <w:tc>
          <w:tcPr>
            <w:tcW w:w="4278" w:type="dxa"/>
            <w:shd w:val="clear" w:color="auto" w:fill="FFF2CC" w:themeFill="accent4" w:themeFillTint="33"/>
            <w:vAlign w:val="center"/>
          </w:tcPr>
          <w:p w14:paraId="134CF177" w14:textId="4DE53D91"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708" w:type="dxa"/>
            <w:shd w:val="clear" w:color="auto" w:fill="FFF2CC" w:themeFill="accent4" w:themeFillTint="33"/>
            <w:vAlign w:val="center"/>
          </w:tcPr>
          <w:p w14:paraId="09D8303C" w14:textId="6E77C65B"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FFE599" w:themeFill="accent4" w:themeFillTint="66"/>
            <w:vAlign w:val="center"/>
          </w:tcPr>
          <w:p w14:paraId="0E3F3E5D"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C.2.2. </w:t>
            </w:r>
          </w:p>
          <w:p w14:paraId="25162DB7" w14:textId="26B87A79"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Üniversite içi kaynaklar (BAP)</w:t>
            </w:r>
          </w:p>
        </w:tc>
        <w:tc>
          <w:tcPr>
            <w:tcW w:w="4961" w:type="dxa"/>
            <w:shd w:val="clear" w:color="auto" w:fill="FFE599" w:themeFill="accent4" w:themeFillTint="66"/>
            <w:vAlign w:val="center"/>
          </w:tcPr>
          <w:p w14:paraId="45BF24A5" w14:textId="45BF7DEC"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üniversite içi kaynakların kullanımı ve dağılımı izlenmekte ve iyileştirmektedir.</w:t>
            </w:r>
          </w:p>
        </w:tc>
        <w:tc>
          <w:tcPr>
            <w:tcW w:w="709" w:type="dxa"/>
            <w:tcBorders>
              <w:right w:val="single" w:sz="12" w:space="0" w:color="auto"/>
            </w:tcBorders>
            <w:shd w:val="clear" w:color="auto" w:fill="FFE599" w:themeFill="accent4" w:themeFillTint="66"/>
            <w:vAlign w:val="center"/>
          </w:tcPr>
          <w:p w14:paraId="50EDA648" w14:textId="3D02440C"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1E94ADD7" w14:textId="77777777" w:rsidTr="00C70740">
        <w:trPr>
          <w:trHeight w:val="1684"/>
        </w:trPr>
        <w:tc>
          <w:tcPr>
            <w:tcW w:w="993" w:type="dxa"/>
            <w:vMerge/>
            <w:tcBorders>
              <w:left w:val="single" w:sz="12" w:space="0" w:color="auto"/>
            </w:tcBorders>
            <w:shd w:val="clear" w:color="auto" w:fill="FFE599" w:themeFill="accent4" w:themeFillTint="66"/>
            <w:textDirection w:val="btLr"/>
            <w:vAlign w:val="center"/>
          </w:tcPr>
          <w:p w14:paraId="26B06F81"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shd w:val="clear" w:color="auto" w:fill="FFF2CC" w:themeFill="accent4" w:themeFillTint="33"/>
            <w:vAlign w:val="center"/>
          </w:tcPr>
          <w:p w14:paraId="44385309"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C.2.3. </w:t>
            </w:r>
          </w:p>
          <w:p w14:paraId="59B26A53" w14:textId="58B8CA5E"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Üniversite dışı kaynaklara yönelim (Destek birimleri, yöntemleri)</w:t>
            </w:r>
          </w:p>
        </w:tc>
        <w:tc>
          <w:tcPr>
            <w:tcW w:w="4278" w:type="dxa"/>
            <w:shd w:val="clear" w:color="auto" w:fill="FFF2CC" w:themeFill="accent4" w:themeFillTint="33"/>
            <w:vAlign w:val="center"/>
          </w:tcPr>
          <w:p w14:paraId="2CA5D06A" w14:textId="72376F15"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w:t>
            </w:r>
          </w:p>
        </w:tc>
        <w:tc>
          <w:tcPr>
            <w:tcW w:w="708" w:type="dxa"/>
            <w:shd w:val="clear" w:color="auto" w:fill="FFF2CC" w:themeFill="accent4" w:themeFillTint="33"/>
            <w:vAlign w:val="center"/>
          </w:tcPr>
          <w:p w14:paraId="70393950" w14:textId="53AD5DB5"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FFE599" w:themeFill="accent4" w:themeFillTint="66"/>
            <w:vAlign w:val="center"/>
          </w:tcPr>
          <w:p w14:paraId="7C0A6DCA"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C.2.3. </w:t>
            </w:r>
          </w:p>
          <w:p w14:paraId="7F0F5484" w14:textId="36D3F27D"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Üniversite dışı kaynaklara yönelim (Destek birimleri, yöntemleri)</w:t>
            </w:r>
          </w:p>
        </w:tc>
        <w:tc>
          <w:tcPr>
            <w:tcW w:w="4961" w:type="dxa"/>
            <w:shd w:val="clear" w:color="auto" w:fill="FFE599" w:themeFill="accent4" w:themeFillTint="66"/>
            <w:vAlign w:val="center"/>
          </w:tcPr>
          <w:p w14:paraId="5E58A4DA" w14:textId="4A2F7EFB"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ve geliştirme faaliyetlerinde üniversite dışı kaynakların kullanımını izlenmekte ve iyileştirilmektedir.</w:t>
            </w:r>
          </w:p>
        </w:tc>
        <w:tc>
          <w:tcPr>
            <w:tcW w:w="709" w:type="dxa"/>
            <w:tcBorders>
              <w:right w:val="single" w:sz="12" w:space="0" w:color="auto"/>
            </w:tcBorders>
            <w:shd w:val="clear" w:color="auto" w:fill="FFE599" w:themeFill="accent4" w:themeFillTint="66"/>
            <w:vAlign w:val="center"/>
          </w:tcPr>
          <w:p w14:paraId="09B92387" w14:textId="08C0C119"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2E342293" w14:textId="77777777" w:rsidTr="00C70740">
        <w:trPr>
          <w:trHeight w:val="1403"/>
        </w:trPr>
        <w:tc>
          <w:tcPr>
            <w:tcW w:w="993" w:type="dxa"/>
            <w:vMerge/>
            <w:tcBorders>
              <w:left w:val="single" w:sz="12" w:space="0" w:color="auto"/>
              <w:bottom w:val="single" w:sz="12" w:space="0" w:color="auto"/>
            </w:tcBorders>
            <w:shd w:val="clear" w:color="auto" w:fill="FFE599" w:themeFill="accent4" w:themeFillTint="66"/>
            <w:textDirection w:val="btLr"/>
            <w:vAlign w:val="center"/>
          </w:tcPr>
          <w:p w14:paraId="0392FC3C"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FFF2CC" w:themeFill="accent4" w:themeFillTint="33"/>
            <w:vAlign w:val="center"/>
          </w:tcPr>
          <w:p w14:paraId="1AE48060"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C.2.4. </w:t>
            </w:r>
          </w:p>
          <w:p w14:paraId="38E32944" w14:textId="1E32B8B3"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Doktora programları (mezun sayıları, eğilimler) ve post-doc imkanları</w:t>
            </w:r>
          </w:p>
        </w:tc>
        <w:tc>
          <w:tcPr>
            <w:tcW w:w="4278" w:type="dxa"/>
            <w:tcBorders>
              <w:bottom w:val="single" w:sz="12" w:space="0" w:color="auto"/>
            </w:tcBorders>
            <w:shd w:val="clear" w:color="auto" w:fill="FFF2CC" w:themeFill="accent4" w:themeFillTint="33"/>
            <w:vAlign w:val="center"/>
          </w:tcPr>
          <w:p w14:paraId="7DB2FAA1" w14:textId="79030E3A"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araştırma politikası, hedefleri ve stratejileri ile uyumlu ve destekleyen doktora ve post-doc programları yürütülmektedir. Ancak bu uygulamaların sonuçları izlenmemektedir.</w:t>
            </w:r>
          </w:p>
        </w:tc>
        <w:tc>
          <w:tcPr>
            <w:tcW w:w="708" w:type="dxa"/>
            <w:tcBorders>
              <w:bottom w:val="single" w:sz="12" w:space="0" w:color="auto"/>
            </w:tcBorders>
            <w:shd w:val="clear" w:color="auto" w:fill="FFF2CC" w:themeFill="accent4" w:themeFillTint="33"/>
            <w:vAlign w:val="center"/>
          </w:tcPr>
          <w:p w14:paraId="5645E607" w14:textId="0545C82D"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bottom w:val="single" w:sz="12" w:space="0" w:color="auto"/>
            </w:tcBorders>
            <w:shd w:val="clear" w:color="auto" w:fill="FFE599" w:themeFill="accent4" w:themeFillTint="66"/>
            <w:vAlign w:val="center"/>
          </w:tcPr>
          <w:p w14:paraId="252F8128"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C.2.4. </w:t>
            </w:r>
          </w:p>
          <w:p w14:paraId="13177386" w14:textId="6C5C1F73"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Doktora programları ve doktora sonrası imkanlar</w:t>
            </w:r>
          </w:p>
        </w:tc>
        <w:tc>
          <w:tcPr>
            <w:tcW w:w="4961" w:type="dxa"/>
            <w:tcBorders>
              <w:bottom w:val="single" w:sz="12" w:space="0" w:color="auto"/>
            </w:tcBorders>
            <w:shd w:val="clear" w:color="auto" w:fill="FFE599" w:themeFill="accent4" w:themeFillTint="66"/>
            <w:vAlign w:val="center"/>
          </w:tcPr>
          <w:p w14:paraId="529677FA" w14:textId="184B480D"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politikası, hedefleri ve stratejileri ile uyumlu ve destekleyen doktora programları ve doktora sonrası imkanlar yürütülmektedir.</w:t>
            </w:r>
          </w:p>
        </w:tc>
        <w:tc>
          <w:tcPr>
            <w:tcW w:w="709" w:type="dxa"/>
            <w:tcBorders>
              <w:bottom w:val="single" w:sz="12" w:space="0" w:color="auto"/>
              <w:right w:val="single" w:sz="12" w:space="0" w:color="auto"/>
            </w:tcBorders>
            <w:shd w:val="clear" w:color="auto" w:fill="FFE599" w:themeFill="accent4" w:themeFillTint="66"/>
            <w:vAlign w:val="center"/>
          </w:tcPr>
          <w:p w14:paraId="71859F10" w14:textId="7AD87180"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292C3EB" w14:textId="77777777" w:rsidTr="00C70740">
        <w:trPr>
          <w:trHeight w:val="1408"/>
        </w:trPr>
        <w:tc>
          <w:tcPr>
            <w:tcW w:w="993" w:type="dxa"/>
            <w:vMerge w:val="restart"/>
            <w:tcBorders>
              <w:top w:val="single" w:sz="12" w:space="0" w:color="auto"/>
              <w:left w:val="single" w:sz="12" w:space="0" w:color="auto"/>
            </w:tcBorders>
            <w:shd w:val="clear" w:color="auto" w:fill="FFE599" w:themeFill="accent4" w:themeFillTint="66"/>
            <w:textDirection w:val="btLr"/>
            <w:vAlign w:val="center"/>
          </w:tcPr>
          <w:p w14:paraId="58C1017C"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C.3. </w:t>
            </w:r>
          </w:p>
          <w:p w14:paraId="2B151070" w14:textId="34F5E78E"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Araştırma Yetkinliği</w:t>
            </w:r>
          </w:p>
        </w:tc>
        <w:tc>
          <w:tcPr>
            <w:tcW w:w="1963" w:type="dxa"/>
            <w:tcBorders>
              <w:top w:val="single" w:sz="12" w:space="0" w:color="auto"/>
            </w:tcBorders>
            <w:shd w:val="clear" w:color="auto" w:fill="FFF2CC" w:themeFill="accent4" w:themeFillTint="33"/>
            <w:vAlign w:val="center"/>
          </w:tcPr>
          <w:p w14:paraId="4752FF9F"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C.3.1. </w:t>
            </w:r>
          </w:p>
          <w:p w14:paraId="622455C1" w14:textId="13EEB2EE"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Öğretim elemanlarının araştırma yetkinliği ve araştırma yetkinliğinin geliştirilmesi</w:t>
            </w:r>
          </w:p>
        </w:tc>
        <w:tc>
          <w:tcPr>
            <w:tcW w:w="4278" w:type="dxa"/>
            <w:tcBorders>
              <w:top w:val="single" w:sz="12" w:space="0" w:color="auto"/>
            </w:tcBorders>
            <w:shd w:val="clear" w:color="auto" w:fill="FFF2CC" w:themeFill="accent4" w:themeFillTint="33"/>
            <w:vAlign w:val="center"/>
          </w:tcPr>
          <w:p w14:paraId="26FAA861" w14:textId="20F9A3B9"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öğretim elemanlarının araştırma yetkinliğinin değerlendirilmesine ve geliştirilmesine yönelik uygulamalar düzenli olarak izlenmekte ve izlem sonuçları paydaşlarla birlikte değerlendirilerek önlemler alınmaktadır.</w:t>
            </w:r>
          </w:p>
        </w:tc>
        <w:tc>
          <w:tcPr>
            <w:tcW w:w="708" w:type="dxa"/>
            <w:tcBorders>
              <w:top w:val="single" w:sz="12" w:space="0" w:color="auto"/>
            </w:tcBorders>
            <w:shd w:val="clear" w:color="auto" w:fill="FFF2CC" w:themeFill="accent4" w:themeFillTint="33"/>
            <w:vAlign w:val="center"/>
          </w:tcPr>
          <w:p w14:paraId="791A4DDA" w14:textId="240AC660"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FFE599" w:themeFill="accent4" w:themeFillTint="66"/>
            <w:vAlign w:val="center"/>
          </w:tcPr>
          <w:p w14:paraId="3F7494D4" w14:textId="77777777" w:rsidR="00C1726B" w:rsidRPr="00B82F82" w:rsidRDefault="00C1726B" w:rsidP="00C1726B">
            <w:pPr>
              <w:rPr>
                <w:rFonts w:ascii="Times New Roman" w:hAnsi="Times New Roman" w:cs="Times New Roman"/>
                <w:b/>
                <w:bCs/>
                <w:sz w:val="20"/>
                <w:szCs w:val="20"/>
              </w:rPr>
            </w:pPr>
            <w:r w:rsidRPr="00B82F82">
              <w:rPr>
                <w:rFonts w:ascii="Times New Roman" w:hAnsi="Times New Roman" w:cs="Times New Roman"/>
                <w:b/>
                <w:bCs/>
                <w:sz w:val="20"/>
                <w:szCs w:val="20"/>
              </w:rPr>
              <w:t xml:space="preserve">C.3.1. </w:t>
            </w:r>
          </w:p>
          <w:p w14:paraId="6F0CD6EA" w14:textId="757FB5F6"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Öğretim elemanlarının araştırma yetkinliğinin geliştirilmesi</w:t>
            </w:r>
          </w:p>
        </w:tc>
        <w:tc>
          <w:tcPr>
            <w:tcW w:w="4961" w:type="dxa"/>
            <w:tcBorders>
              <w:top w:val="single" w:sz="12" w:space="0" w:color="auto"/>
            </w:tcBorders>
            <w:shd w:val="clear" w:color="auto" w:fill="FFE599" w:themeFill="accent4" w:themeFillTint="66"/>
            <w:vAlign w:val="center"/>
          </w:tcPr>
          <w:p w14:paraId="0129A261" w14:textId="1BFC462F"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öğretim elemanlarının araştırma yetkinliğinin geliştirilmesine yönelik uygulamalar izlenmekte ve izlem sonuçları öğretim elemanları ile birlikte değerlendirilerek önlemler alınmaktadır.</w:t>
            </w:r>
          </w:p>
        </w:tc>
        <w:tc>
          <w:tcPr>
            <w:tcW w:w="709" w:type="dxa"/>
            <w:tcBorders>
              <w:top w:val="single" w:sz="12" w:space="0" w:color="auto"/>
              <w:right w:val="single" w:sz="12" w:space="0" w:color="auto"/>
            </w:tcBorders>
            <w:shd w:val="clear" w:color="auto" w:fill="FFE599" w:themeFill="accent4" w:themeFillTint="66"/>
            <w:vAlign w:val="center"/>
          </w:tcPr>
          <w:p w14:paraId="35471238" w14:textId="5259EDDC"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590C7718" w14:textId="77777777" w:rsidTr="00C70740">
        <w:trPr>
          <w:trHeight w:val="1556"/>
        </w:trPr>
        <w:tc>
          <w:tcPr>
            <w:tcW w:w="993" w:type="dxa"/>
            <w:vMerge/>
            <w:tcBorders>
              <w:left w:val="single" w:sz="12" w:space="0" w:color="auto"/>
              <w:bottom w:val="single" w:sz="12" w:space="0" w:color="auto"/>
            </w:tcBorders>
            <w:shd w:val="clear" w:color="auto" w:fill="FFE599" w:themeFill="accent4" w:themeFillTint="66"/>
            <w:textDirection w:val="btLr"/>
            <w:vAlign w:val="center"/>
          </w:tcPr>
          <w:p w14:paraId="3E2C87A9"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FFF2CC" w:themeFill="accent4" w:themeFillTint="33"/>
            <w:vAlign w:val="center"/>
          </w:tcPr>
          <w:p w14:paraId="3F6E2C1E"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C.3.2. </w:t>
            </w:r>
          </w:p>
          <w:p w14:paraId="4D5D44AC" w14:textId="3CA5CB1F"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Ulusal ve Uluslararası Ortak Programlar ve Ortak Araştırma Birimle</w:t>
            </w:r>
          </w:p>
        </w:tc>
        <w:tc>
          <w:tcPr>
            <w:tcW w:w="4278" w:type="dxa"/>
            <w:tcBorders>
              <w:bottom w:val="single" w:sz="12" w:space="0" w:color="auto"/>
            </w:tcBorders>
            <w:shd w:val="clear" w:color="auto" w:fill="FFF2CC" w:themeFill="accent4" w:themeFillTint="33"/>
            <w:vAlign w:val="center"/>
          </w:tcPr>
          <w:p w14:paraId="0E205201" w14:textId="675B6D4B"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ulusal ve uluslararası düzeyde kurum içi ve kurumlar arası ortak programlar ve ortak araştırma birimleri ile araştırma ağlarına katılım ve işbirlikleri kurma gibi çoklu araştırma faaliyetleri ve uygulamalar tüm alanları kapsayacak şekilde yürütülmektedir. Ancak bu uygulamaların sonuçları izlenmemektedir.</w:t>
            </w:r>
          </w:p>
        </w:tc>
        <w:tc>
          <w:tcPr>
            <w:tcW w:w="708" w:type="dxa"/>
            <w:tcBorders>
              <w:bottom w:val="single" w:sz="12" w:space="0" w:color="auto"/>
            </w:tcBorders>
            <w:shd w:val="clear" w:color="auto" w:fill="FFF2CC" w:themeFill="accent4" w:themeFillTint="33"/>
            <w:vAlign w:val="center"/>
          </w:tcPr>
          <w:p w14:paraId="08F6A9D6" w14:textId="397CC1FE"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3</w:t>
            </w:r>
          </w:p>
        </w:tc>
        <w:tc>
          <w:tcPr>
            <w:tcW w:w="2268" w:type="dxa"/>
            <w:tcBorders>
              <w:bottom w:val="single" w:sz="12" w:space="0" w:color="auto"/>
            </w:tcBorders>
            <w:shd w:val="clear" w:color="auto" w:fill="FFE599" w:themeFill="accent4" w:themeFillTint="66"/>
            <w:vAlign w:val="center"/>
          </w:tcPr>
          <w:p w14:paraId="6B916264"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C.3.2. </w:t>
            </w:r>
          </w:p>
          <w:p w14:paraId="71E40AA4" w14:textId="67420A48"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Ulusal ve uluslararası ortak programlar ve ortak araştırma birimleri</w:t>
            </w:r>
          </w:p>
        </w:tc>
        <w:tc>
          <w:tcPr>
            <w:tcW w:w="4961" w:type="dxa"/>
            <w:tcBorders>
              <w:bottom w:val="single" w:sz="12" w:space="0" w:color="auto"/>
            </w:tcBorders>
            <w:shd w:val="clear" w:color="auto" w:fill="FFE599" w:themeFill="accent4" w:themeFillTint="66"/>
            <w:vAlign w:val="center"/>
          </w:tcPr>
          <w:p w14:paraId="79DE366E" w14:textId="4516D1BB"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ulusal ve uluslararası düzeyde ortak programlar ve ortak araştırma faaliyetleri yürütülmektedir.</w:t>
            </w:r>
          </w:p>
        </w:tc>
        <w:tc>
          <w:tcPr>
            <w:tcW w:w="709" w:type="dxa"/>
            <w:tcBorders>
              <w:bottom w:val="single" w:sz="12" w:space="0" w:color="auto"/>
              <w:right w:val="single" w:sz="12" w:space="0" w:color="auto"/>
            </w:tcBorders>
            <w:shd w:val="clear" w:color="auto" w:fill="FFE599" w:themeFill="accent4" w:themeFillTint="66"/>
            <w:vAlign w:val="center"/>
          </w:tcPr>
          <w:p w14:paraId="5CDB02EF" w14:textId="12FAFB15"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C1726B" w:rsidRPr="007843E6" w14:paraId="0D6FE290" w14:textId="77777777" w:rsidTr="00C70740">
        <w:trPr>
          <w:trHeight w:val="1394"/>
        </w:trPr>
        <w:tc>
          <w:tcPr>
            <w:tcW w:w="993" w:type="dxa"/>
            <w:vMerge w:val="restart"/>
            <w:tcBorders>
              <w:top w:val="single" w:sz="12" w:space="0" w:color="auto"/>
              <w:left w:val="single" w:sz="12" w:space="0" w:color="auto"/>
            </w:tcBorders>
            <w:shd w:val="clear" w:color="auto" w:fill="FFE599" w:themeFill="accent4" w:themeFillTint="66"/>
            <w:textDirection w:val="btLr"/>
            <w:vAlign w:val="center"/>
          </w:tcPr>
          <w:p w14:paraId="0DBE636C"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C.4. </w:t>
            </w:r>
          </w:p>
          <w:p w14:paraId="54886B5F" w14:textId="7F62D626"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Araştırma Performansı</w:t>
            </w:r>
          </w:p>
        </w:tc>
        <w:tc>
          <w:tcPr>
            <w:tcW w:w="1963" w:type="dxa"/>
            <w:tcBorders>
              <w:top w:val="single" w:sz="12" w:space="0" w:color="auto"/>
            </w:tcBorders>
            <w:shd w:val="clear" w:color="auto" w:fill="FFF2CC" w:themeFill="accent4" w:themeFillTint="33"/>
            <w:vAlign w:val="center"/>
          </w:tcPr>
          <w:p w14:paraId="3D4A13A6"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C.4.1. </w:t>
            </w:r>
          </w:p>
          <w:p w14:paraId="108BFB93" w14:textId="08A1ABD7"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Öğretim elemanı performans değerlendirmesi</w:t>
            </w:r>
          </w:p>
        </w:tc>
        <w:tc>
          <w:tcPr>
            <w:tcW w:w="4278" w:type="dxa"/>
            <w:tcBorders>
              <w:top w:val="single" w:sz="12" w:space="0" w:color="auto"/>
            </w:tcBorders>
            <w:shd w:val="clear" w:color="auto" w:fill="FFF2CC" w:themeFill="accent4" w:themeFillTint="33"/>
            <w:vAlign w:val="center"/>
          </w:tcPr>
          <w:p w14:paraId="653EE4A2" w14:textId="5C2FC253"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Öğretim elemanlarının araştırma-geliştirme performansını izlemek ve değerlendirmek üzere tüm alanları kapsayan uygulamalar düzenli olarak izlenmekte ve izlem sonuçları paydaşlarla birlikte değerlendirilerek önlemler alınmaktadır.</w:t>
            </w:r>
          </w:p>
        </w:tc>
        <w:tc>
          <w:tcPr>
            <w:tcW w:w="708" w:type="dxa"/>
            <w:tcBorders>
              <w:top w:val="single" w:sz="12" w:space="0" w:color="auto"/>
            </w:tcBorders>
            <w:shd w:val="clear" w:color="auto" w:fill="FFF2CC" w:themeFill="accent4" w:themeFillTint="33"/>
            <w:vAlign w:val="center"/>
          </w:tcPr>
          <w:p w14:paraId="38D5F777" w14:textId="2F3EC1A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FFE599" w:themeFill="accent4" w:themeFillTint="66"/>
            <w:vAlign w:val="center"/>
          </w:tcPr>
          <w:p w14:paraId="1AEB2121"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C.4.1. </w:t>
            </w:r>
          </w:p>
          <w:p w14:paraId="488FB14C" w14:textId="2D1BB492"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Öğretim elemanı performans değerlendirmesi</w:t>
            </w:r>
          </w:p>
        </w:tc>
        <w:tc>
          <w:tcPr>
            <w:tcW w:w="4961" w:type="dxa"/>
            <w:tcBorders>
              <w:top w:val="single" w:sz="12" w:space="0" w:color="auto"/>
            </w:tcBorders>
            <w:shd w:val="clear" w:color="auto" w:fill="FFE599" w:themeFill="accent4" w:themeFillTint="66"/>
            <w:vAlign w:val="center"/>
          </w:tcPr>
          <w:p w14:paraId="03835731" w14:textId="7320D4C9"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Öğretim elemanlarının araştırmageliştirme performansı izlenmekte ve öğretim elemanları ile birlikte değerlendirilerek iyileştirilmektedir.</w:t>
            </w:r>
          </w:p>
        </w:tc>
        <w:tc>
          <w:tcPr>
            <w:tcW w:w="709" w:type="dxa"/>
            <w:tcBorders>
              <w:top w:val="single" w:sz="12" w:space="0" w:color="auto"/>
              <w:right w:val="single" w:sz="12" w:space="0" w:color="auto"/>
            </w:tcBorders>
            <w:shd w:val="clear" w:color="auto" w:fill="FFE599" w:themeFill="accent4" w:themeFillTint="66"/>
            <w:vAlign w:val="center"/>
          </w:tcPr>
          <w:p w14:paraId="60B4A6CD" w14:textId="417F2088"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3636FE61" w14:textId="77777777" w:rsidTr="00C70740">
        <w:trPr>
          <w:trHeight w:val="1697"/>
        </w:trPr>
        <w:tc>
          <w:tcPr>
            <w:tcW w:w="993" w:type="dxa"/>
            <w:vMerge/>
            <w:tcBorders>
              <w:left w:val="single" w:sz="12" w:space="0" w:color="auto"/>
            </w:tcBorders>
            <w:shd w:val="clear" w:color="auto" w:fill="FFE599" w:themeFill="accent4" w:themeFillTint="66"/>
            <w:textDirection w:val="btLr"/>
            <w:vAlign w:val="center"/>
          </w:tcPr>
          <w:p w14:paraId="6C94358C"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shd w:val="clear" w:color="auto" w:fill="FFF2CC" w:themeFill="accent4" w:themeFillTint="33"/>
            <w:vAlign w:val="center"/>
          </w:tcPr>
          <w:p w14:paraId="283B652B"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C.4.2. </w:t>
            </w:r>
          </w:p>
          <w:p w14:paraId="0CD73E50" w14:textId="7A36ED52"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Araştırma performansının değerlendirilmesi ve sonuçlara dayalı iyileştirilmesi</w:t>
            </w:r>
          </w:p>
        </w:tc>
        <w:tc>
          <w:tcPr>
            <w:tcW w:w="4278" w:type="dxa"/>
            <w:shd w:val="clear" w:color="auto" w:fill="FFF2CC" w:themeFill="accent4" w:themeFillTint="33"/>
            <w:vAlign w:val="center"/>
          </w:tcPr>
          <w:p w14:paraId="387E3FAE" w14:textId="28224503"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w:t>
            </w:r>
          </w:p>
        </w:tc>
        <w:tc>
          <w:tcPr>
            <w:tcW w:w="708" w:type="dxa"/>
            <w:shd w:val="clear" w:color="auto" w:fill="FFF2CC" w:themeFill="accent4" w:themeFillTint="33"/>
            <w:vAlign w:val="center"/>
          </w:tcPr>
          <w:p w14:paraId="5E5DCE06" w14:textId="45BE5E4E"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shd w:val="clear" w:color="auto" w:fill="FFE599" w:themeFill="accent4" w:themeFillTint="66"/>
            <w:vAlign w:val="center"/>
          </w:tcPr>
          <w:p w14:paraId="2050B48C"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C.4.2. </w:t>
            </w:r>
          </w:p>
          <w:p w14:paraId="2A8A432A" w14:textId="22653937"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Araştırma performansının izlenmesi ve iyileştirilmesi</w:t>
            </w:r>
          </w:p>
        </w:tc>
        <w:tc>
          <w:tcPr>
            <w:tcW w:w="4961" w:type="dxa"/>
            <w:shd w:val="clear" w:color="auto" w:fill="FFE599" w:themeFill="accent4" w:themeFillTint="66"/>
            <w:vAlign w:val="center"/>
          </w:tcPr>
          <w:p w14:paraId="4FB5B7E3" w14:textId="063E36C8"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araştırma performansı izlenmekte ve ilgili paydaşlarla değerlendirilerek iyileştirilmektedir.</w:t>
            </w:r>
          </w:p>
        </w:tc>
        <w:tc>
          <w:tcPr>
            <w:tcW w:w="709" w:type="dxa"/>
            <w:tcBorders>
              <w:right w:val="single" w:sz="12" w:space="0" w:color="auto"/>
            </w:tcBorders>
            <w:shd w:val="clear" w:color="auto" w:fill="FFE599" w:themeFill="accent4" w:themeFillTint="66"/>
            <w:vAlign w:val="center"/>
          </w:tcPr>
          <w:p w14:paraId="095C5509" w14:textId="4CFB4E5E"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3DA6246F" w14:textId="77777777" w:rsidTr="00C70740">
        <w:trPr>
          <w:trHeight w:val="2979"/>
        </w:trPr>
        <w:tc>
          <w:tcPr>
            <w:tcW w:w="993" w:type="dxa"/>
            <w:vMerge/>
            <w:tcBorders>
              <w:left w:val="single" w:sz="12" w:space="0" w:color="auto"/>
              <w:bottom w:val="single" w:sz="12" w:space="0" w:color="auto"/>
            </w:tcBorders>
            <w:shd w:val="clear" w:color="auto" w:fill="FFE599" w:themeFill="accent4" w:themeFillTint="66"/>
            <w:textDirection w:val="btLr"/>
            <w:vAlign w:val="center"/>
          </w:tcPr>
          <w:p w14:paraId="61622C87"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FFF2CC" w:themeFill="accent4" w:themeFillTint="33"/>
            <w:vAlign w:val="center"/>
          </w:tcPr>
          <w:p w14:paraId="08E8FAB5"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C.4.3. </w:t>
            </w:r>
          </w:p>
          <w:p w14:paraId="0E532F28" w14:textId="6518F12B"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Araştırma bütçe performansı</w:t>
            </w:r>
          </w:p>
        </w:tc>
        <w:tc>
          <w:tcPr>
            <w:tcW w:w="4278" w:type="dxa"/>
            <w:tcBorders>
              <w:bottom w:val="single" w:sz="12" w:space="0" w:color="auto"/>
            </w:tcBorders>
            <w:shd w:val="clear" w:color="auto" w:fill="FFF2CC" w:themeFill="accent4" w:themeFillTint="33"/>
            <w:vAlign w:val="center"/>
          </w:tcPr>
          <w:p w14:paraId="2844CB87" w14:textId="1D13B9AF"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kurumsal amaçlar (araştırma politikası, hedefleri, stratejisi) doğrultusunda tüm birimlerin araştırma bütçe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c>
          <w:tcPr>
            <w:tcW w:w="708" w:type="dxa"/>
            <w:tcBorders>
              <w:bottom w:val="single" w:sz="12" w:space="0" w:color="auto"/>
            </w:tcBorders>
            <w:shd w:val="clear" w:color="auto" w:fill="FFF2CC" w:themeFill="accent4" w:themeFillTint="33"/>
            <w:vAlign w:val="center"/>
          </w:tcPr>
          <w:p w14:paraId="7240C425" w14:textId="18C73622"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5</w:t>
            </w:r>
          </w:p>
        </w:tc>
        <w:tc>
          <w:tcPr>
            <w:tcW w:w="2268" w:type="dxa"/>
            <w:tcBorders>
              <w:bottom w:val="single" w:sz="12" w:space="0" w:color="auto"/>
            </w:tcBorders>
            <w:shd w:val="clear" w:color="auto" w:fill="FFE599" w:themeFill="accent4" w:themeFillTint="66"/>
            <w:vAlign w:val="center"/>
          </w:tcPr>
          <w:p w14:paraId="196D62CD"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C.4.3. </w:t>
            </w:r>
          </w:p>
          <w:p w14:paraId="3E498B1C" w14:textId="6DE8DCD9"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Araştırma bütçe performansının değerlendirilmesi</w:t>
            </w:r>
          </w:p>
        </w:tc>
        <w:tc>
          <w:tcPr>
            <w:tcW w:w="4961" w:type="dxa"/>
            <w:tcBorders>
              <w:bottom w:val="single" w:sz="12" w:space="0" w:color="auto"/>
            </w:tcBorders>
            <w:shd w:val="clear" w:color="auto" w:fill="FFE599" w:themeFill="accent4" w:themeFillTint="66"/>
            <w:vAlign w:val="center"/>
          </w:tcPr>
          <w:p w14:paraId="39B1B1EF" w14:textId="683DE929"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İçselleştirilmiş, sistematik, sürdürülebilir ve örnek gösterilebilir uygulamalar bulunmaktadır.</w:t>
            </w:r>
          </w:p>
        </w:tc>
        <w:tc>
          <w:tcPr>
            <w:tcW w:w="709" w:type="dxa"/>
            <w:tcBorders>
              <w:bottom w:val="single" w:sz="12" w:space="0" w:color="auto"/>
              <w:right w:val="single" w:sz="12" w:space="0" w:color="auto"/>
            </w:tcBorders>
            <w:shd w:val="clear" w:color="auto" w:fill="FFE599" w:themeFill="accent4" w:themeFillTint="66"/>
            <w:vAlign w:val="center"/>
          </w:tcPr>
          <w:p w14:paraId="7103E647" w14:textId="6F7D18C0"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C1726B" w:rsidRPr="007843E6" w14:paraId="71AC7520" w14:textId="77777777" w:rsidTr="00C70740">
        <w:trPr>
          <w:trHeight w:val="1402"/>
        </w:trPr>
        <w:tc>
          <w:tcPr>
            <w:tcW w:w="993" w:type="dxa"/>
            <w:vMerge w:val="restart"/>
            <w:tcBorders>
              <w:top w:val="single" w:sz="12" w:space="0" w:color="auto"/>
              <w:left w:val="single" w:sz="12" w:space="0" w:color="auto"/>
            </w:tcBorders>
            <w:shd w:val="clear" w:color="auto" w:fill="F7CAAC" w:themeFill="accent2" w:themeFillTint="66"/>
            <w:textDirection w:val="btLr"/>
            <w:vAlign w:val="center"/>
          </w:tcPr>
          <w:p w14:paraId="76575AAE"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lastRenderedPageBreak/>
              <w:t xml:space="preserve">D.1. </w:t>
            </w:r>
          </w:p>
          <w:p w14:paraId="5D09956B" w14:textId="5BF8E433"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Toplumsal Katkı Stratejisi</w:t>
            </w:r>
          </w:p>
        </w:tc>
        <w:tc>
          <w:tcPr>
            <w:tcW w:w="1963" w:type="dxa"/>
            <w:tcBorders>
              <w:top w:val="single" w:sz="12" w:space="0" w:color="auto"/>
            </w:tcBorders>
            <w:shd w:val="clear" w:color="auto" w:fill="FBE4D5" w:themeFill="accent2" w:themeFillTint="33"/>
            <w:vAlign w:val="center"/>
          </w:tcPr>
          <w:p w14:paraId="53B09140"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D.1.1. </w:t>
            </w:r>
          </w:p>
          <w:p w14:paraId="53B60668" w14:textId="73991B13"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Toplumsal katkı politikası, hedefleri ve stratejisi</w:t>
            </w:r>
          </w:p>
        </w:tc>
        <w:tc>
          <w:tcPr>
            <w:tcW w:w="4278" w:type="dxa"/>
            <w:tcBorders>
              <w:top w:val="single" w:sz="12" w:space="0" w:color="auto"/>
            </w:tcBorders>
            <w:shd w:val="clear" w:color="auto" w:fill="FBE4D5" w:themeFill="accent2" w:themeFillTint="33"/>
            <w:vAlign w:val="center"/>
          </w:tcPr>
          <w:p w14:paraId="0920AA23" w14:textId="244AC789"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birimler tarafından benimsenmiş toplumsal katkı politikası, hedefleri ve stratejisi ile ilgili uygulamalar, sistematik olarak izlenmekte ve izlem sonuçlarına göre tüm alanları ve programları kapsayan önlemler alınmaktadır.</w:t>
            </w:r>
          </w:p>
        </w:tc>
        <w:tc>
          <w:tcPr>
            <w:tcW w:w="708" w:type="dxa"/>
            <w:tcBorders>
              <w:top w:val="single" w:sz="12" w:space="0" w:color="auto"/>
            </w:tcBorders>
            <w:shd w:val="clear" w:color="auto" w:fill="FBE4D5" w:themeFill="accent2" w:themeFillTint="33"/>
            <w:vAlign w:val="center"/>
          </w:tcPr>
          <w:p w14:paraId="452BB8D6" w14:textId="63D596A7"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F7CAAC" w:themeFill="accent2" w:themeFillTint="66"/>
            <w:vAlign w:val="center"/>
          </w:tcPr>
          <w:p w14:paraId="7546E266"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D.1.1. </w:t>
            </w:r>
          </w:p>
          <w:p w14:paraId="5FE26994" w14:textId="3654FBA6"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Toplumsal katkı politikası, hedefleri ve stratejisi</w:t>
            </w:r>
          </w:p>
        </w:tc>
        <w:tc>
          <w:tcPr>
            <w:tcW w:w="4961" w:type="dxa"/>
            <w:tcBorders>
              <w:top w:val="single" w:sz="12" w:space="0" w:color="auto"/>
            </w:tcBorders>
            <w:shd w:val="clear" w:color="auto" w:fill="F7CAAC" w:themeFill="accent2" w:themeFillTint="66"/>
            <w:vAlign w:val="center"/>
          </w:tcPr>
          <w:p w14:paraId="395EC575" w14:textId="327C4289" w:rsidR="00C1726B" w:rsidRPr="00B82F82" w:rsidRDefault="00197B2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toplumsal katkı politika, hedef ve stratejileri izlenmekte ve ilgili paydaşlarla değerlendirilerek iyileştirilmektedir.</w:t>
            </w:r>
          </w:p>
        </w:tc>
        <w:tc>
          <w:tcPr>
            <w:tcW w:w="709" w:type="dxa"/>
            <w:tcBorders>
              <w:top w:val="single" w:sz="12" w:space="0" w:color="auto"/>
              <w:right w:val="single" w:sz="12" w:space="0" w:color="auto"/>
            </w:tcBorders>
            <w:shd w:val="clear" w:color="auto" w:fill="F7CAAC" w:themeFill="accent2" w:themeFillTint="66"/>
            <w:vAlign w:val="center"/>
          </w:tcPr>
          <w:p w14:paraId="03C9D992" w14:textId="2E6D583A"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4F8B5532" w14:textId="77777777" w:rsidTr="00C70740">
        <w:trPr>
          <w:trHeight w:val="1545"/>
        </w:trPr>
        <w:tc>
          <w:tcPr>
            <w:tcW w:w="993" w:type="dxa"/>
            <w:vMerge/>
            <w:tcBorders>
              <w:left w:val="single" w:sz="12" w:space="0" w:color="auto"/>
              <w:bottom w:val="single" w:sz="12" w:space="0" w:color="auto"/>
            </w:tcBorders>
            <w:shd w:val="clear" w:color="auto" w:fill="F7CAAC" w:themeFill="accent2" w:themeFillTint="66"/>
            <w:textDirection w:val="btLr"/>
            <w:vAlign w:val="center"/>
          </w:tcPr>
          <w:p w14:paraId="101B55DC"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FBE4D5" w:themeFill="accent2" w:themeFillTint="33"/>
            <w:vAlign w:val="center"/>
          </w:tcPr>
          <w:p w14:paraId="5D13358D"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D.1.2. </w:t>
            </w:r>
          </w:p>
          <w:p w14:paraId="03B99671" w14:textId="04F8EFC6"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Toplumsal katkı süreçlerinin yönetimi ve organizasyonel yapısı</w:t>
            </w:r>
          </w:p>
        </w:tc>
        <w:tc>
          <w:tcPr>
            <w:tcW w:w="4278" w:type="dxa"/>
            <w:tcBorders>
              <w:bottom w:val="single" w:sz="12" w:space="0" w:color="auto"/>
            </w:tcBorders>
            <w:shd w:val="clear" w:color="auto" w:fill="FBE4D5" w:themeFill="accent2" w:themeFillTint="33"/>
            <w:vAlign w:val="center"/>
          </w:tcPr>
          <w:p w14:paraId="01CD2567" w14:textId="15A3C6B6"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toplumsal katkı süreçlerinin yönetimi ile ilişkili sonuçlar ve paydaş görüşleri sistematik ve kurumun iç kalite güvence sistemiyle uyumlu olarak izlenmekte ve paydaşlarla birlikte değerlendirilerek önlem alınmaktadır.</w:t>
            </w:r>
          </w:p>
        </w:tc>
        <w:tc>
          <w:tcPr>
            <w:tcW w:w="708" w:type="dxa"/>
            <w:tcBorders>
              <w:bottom w:val="single" w:sz="12" w:space="0" w:color="auto"/>
            </w:tcBorders>
            <w:shd w:val="clear" w:color="auto" w:fill="FBE4D5" w:themeFill="accent2" w:themeFillTint="33"/>
            <w:vAlign w:val="center"/>
          </w:tcPr>
          <w:p w14:paraId="3620844F" w14:textId="470AEB57"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F7CAAC" w:themeFill="accent2" w:themeFillTint="66"/>
            <w:vAlign w:val="center"/>
          </w:tcPr>
          <w:p w14:paraId="6467758B"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D.1.2. </w:t>
            </w:r>
          </w:p>
          <w:p w14:paraId="75EB3188" w14:textId="1B74A194"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Toplumsal katkı süreçlerinin yönetimi ve organizasyonel yapısı</w:t>
            </w:r>
          </w:p>
        </w:tc>
        <w:tc>
          <w:tcPr>
            <w:tcW w:w="4961" w:type="dxa"/>
            <w:tcBorders>
              <w:bottom w:val="single" w:sz="12" w:space="0" w:color="auto"/>
            </w:tcBorders>
            <w:shd w:val="clear" w:color="auto" w:fill="F7CAAC" w:themeFill="accent2" w:themeFillTint="66"/>
            <w:vAlign w:val="center"/>
          </w:tcPr>
          <w:p w14:paraId="1880A4C5" w14:textId="63F8FAFF" w:rsidR="00C1726B" w:rsidRPr="00B82F82" w:rsidRDefault="00197B2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toplumsal katkı süreçlerinin yönetimi ve organizasyonel yapısının işlerliği ile ilişkili sonuçlar izlenmekte ve önlemler alınmaktadır.</w:t>
            </w:r>
          </w:p>
        </w:tc>
        <w:tc>
          <w:tcPr>
            <w:tcW w:w="709" w:type="dxa"/>
            <w:tcBorders>
              <w:bottom w:val="single" w:sz="12" w:space="0" w:color="auto"/>
              <w:right w:val="single" w:sz="12" w:space="0" w:color="auto"/>
            </w:tcBorders>
            <w:shd w:val="clear" w:color="auto" w:fill="F7CAAC" w:themeFill="accent2" w:themeFillTint="66"/>
            <w:vAlign w:val="center"/>
          </w:tcPr>
          <w:p w14:paraId="1A3DCA6C" w14:textId="1E1EA846"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0D063E25" w14:textId="77777777" w:rsidTr="00C70740">
        <w:trPr>
          <w:cantSplit/>
          <w:trHeight w:val="2112"/>
        </w:trPr>
        <w:tc>
          <w:tcPr>
            <w:tcW w:w="993" w:type="dxa"/>
            <w:tcBorders>
              <w:top w:val="single" w:sz="12" w:space="0" w:color="auto"/>
              <w:left w:val="single" w:sz="12" w:space="0" w:color="auto"/>
              <w:bottom w:val="single" w:sz="12" w:space="0" w:color="auto"/>
            </w:tcBorders>
            <w:shd w:val="clear" w:color="auto" w:fill="F7CAAC" w:themeFill="accent2" w:themeFillTint="66"/>
            <w:textDirection w:val="btLr"/>
            <w:vAlign w:val="center"/>
          </w:tcPr>
          <w:p w14:paraId="52DD889E"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D.2. </w:t>
            </w:r>
          </w:p>
          <w:p w14:paraId="5F9CB4FF" w14:textId="103EC378"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Toplumsal Katkı Kaynakları</w:t>
            </w:r>
          </w:p>
        </w:tc>
        <w:tc>
          <w:tcPr>
            <w:tcW w:w="1963" w:type="dxa"/>
            <w:tcBorders>
              <w:top w:val="single" w:sz="12" w:space="0" w:color="auto"/>
              <w:bottom w:val="single" w:sz="12" w:space="0" w:color="auto"/>
            </w:tcBorders>
            <w:shd w:val="clear" w:color="auto" w:fill="FBE4D5" w:themeFill="accent2" w:themeFillTint="33"/>
            <w:vAlign w:val="center"/>
          </w:tcPr>
          <w:p w14:paraId="07935A6B"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D.2.1. </w:t>
            </w:r>
          </w:p>
          <w:p w14:paraId="19D88DF4" w14:textId="0BDF10C7"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Kaynaklar</w:t>
            </w:r>
          </w:p>
        </w:tc>
        <w:tc>
          <w:tcPr>
            <w:tcW w:w="4278" w:type="dxa"/>
            <w:tcBorders>
              <w:top w:val="single" w:sz="12" w:space="0" w:color="auto"/>
              <w:bottom w:val="single" w:sz="12" w:space="0" w:color="auto"/>
            </w:tcBorders>
            <w:shd w:val="clear" w:color="auto" w:fill="FBE4D5" w:themeFill="accent2" w:themeFillTint="33"/>
            <w:vAlign w:val="center"/>
          </w:tcPr>
          <w:p w14:paraId="23CA9206" w14:textId="184F48F0"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708" w:type="dxa"/>
            <w:tcBorders>
              <w:top w:val="single" w:sz="12" w:space="0" w:color="auto"/>
              <w:bottom w:val="single" w:sz="12" w:space="0" w:color="auto"/>
            </w:tcBorders>
            <w:shd w:val="clear" w:color="auto" w:fill="FBE4D5" w:themeFill="accent2" w:themeFillTint="33"/>
            <w:vAlign w:val="center"/>
          </w:tcPr>
          <w:p w14:paraId="2D50B57D" w14:textId="34ADD55D"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bottom w:val="single" w:sz="12" w:space="0" w:color="auto"/>
            </w:tcBorders>
            <w:shd w:val="clear" w:color="auto" w:fill="F7CAAC" w:themeFill="accent2" w:themeFillTint="66"/>
            <w:vAlign w:val="center"/>
          </w:tcPr>
          <w:p w14:paraId="4AD38661"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D.2.1. </w:t>
            </w:r>
          </w:p>
          <w:p w14:paraId="31251825" w14:textId="4F1A9BB0"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Kaynaklar</w:t>
            </w:r>
          </w:p>
        </w:tc>
        <w:tc>
          <w:tcPr>
            <w:tcW w:w="4961" w:type="dxa"/>
            <w:tcBorders>
              <w:top w:val="single" w:sz="12" w:space="0" w:color="auto"/>
              <w:bottom w:val="single" w:sz="12" w:space="0" w:color="auto"/>
            </w:tcBorders>
            <w:shd w:val="clear" w:color="auto" w:fill="F7CAAC" w:themeFill="accent2" w:themeFillTint="66"/>
            <w:vAlign w:val="center"/>
          </w:tcPr>
          <w:p w14:paraId="0C4F56ED" w14:textId="18C712EA" w:rsidR="00C1726B" w:rsidRPr="00B82F82" w:rsidRDefault="00197B2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toplumsal katkı kaynaklarının yeterliliği ve çeşitliliği izlenmekte ve iyileştirilmektedir.</w:t>
            </w:r>
          </w:p>
        </w:tc>
        <w:tc>
          <w:tcPr>
            <w:tcW w:w="709" w:type="dxa"/>
            <w:tcBorders>
              <w:top w:val="single" w:sz="12" w:space="0" w:color="auto"/>
              <w:bottom w:val="single" w:sz="12" w:space="0" w:color="auto"/>
              <w:right w:val="single" w:sz="12" w:space="0" w:color="auto"/>
            </w:tcBorders>
            <w:shd w:val="clear" w:color="auto" w:fill="F7CAAC" w:themeFill="accent2" w:themeFillTint="66"/>
            <w:vAlign w:val="center"/>
          </w:tcPr>
          <w:p w14:paraId="5AC685C2" w14:textId="192A5681"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1E6E5B16" w14:textId="77777777" w:rsidTr="00C70740">
        <w:trPr>
          <w:cantSplit/>
          <w:trHeight w:val="1971"/>
        </w:trPr>
        <w:tc>
          <w:tcPr>
            <w:tcW w:w="993" w:type="dxa"/>
            <w:tcBorders>
              <w:top w:val="single" w:sz="12" w:space="0" w:color="auto"/>
              <w:left w:val="single" w:sz="12" w:space="0" w:color="auto"/>
              <w:bottom w:val="single" w:sz="12" w:space="0" w:color="auto"/>
            </w:tcBorders>
            <w:shd w:val="clear" w:color="auto" w:fill="F7CAAC" w:themeFill="accent2" w:themeFillTint="66"/>
            <w:textDirection w:val="btLr"/>
            <w:vAlign w:val="center"/>
          </w:tcPr>
          <w:p w14:paraId="056F0E42"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D.3. </w:t>
            </w:r>
          </w:p>
          <w:p w14:paraId="6F0A8903" w14:textId="306DF57A"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Toplumsal Katkı Performansı</w:t>
            </w:r>
          </w:p>
        </w:tc>
        <w:tc>
          <w:tcPr>
            <w:tcW w:w="1963" w:type="dxa"/>
            <w:tcBorders>
              <w:top w:val="single" w:sz="12" w:space="0" w:color="auto"/>
              <w:bottom w:val="single" w:sz="12" w:space="0" w:color="auto"/>
            </w:tcBorders>
            <w:shd w:val="clear" w:color="auto" w:fill="FBE4D5" w:themeFill="accent2" w:themeFillTint="33"/>
            <w:vAlign w:val="center"/>
          </w:tcPr>
          <w:p w14:paraId="59B7FD1A"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D.3.1.</w:t>
            </w:r>
          </w:p>
          <w:p w14:paraId="02371DB2" w14:textId="151174BC"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Toplumsal katkı performansının izlenmesi ve iyileştirilmesi</w:t>
            </w:r>
          </w:p>
        </w:tc>
        <w:tc>
          <w:tcPr>
            <w:tcW w:w="4278" w:type="dxa"/>
            <w:tcBorders>
              <w:top w:val="single" w:sz="12" w:space="0" w:color="auto"/>
              <w:bottom w:val="single" w:sz="12" w:space="0" w:color="auto"/>
            </w:tcBorders>
            <w:shd w:val="clear" w:color="auto" w:fill="FBE4D5" w:themeFill="accent2" w:themeFillTint="33"/>
            <w:vAlign w:val="center"/>
          </w:tcPr>
          <w:p w14:paraId="177AF4D5" w14:textId="38F4EDD4"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birimlerin toplumsal katkı performansı izlenerek değerlendirilmekte ve karar almalarda kullanılmaktadır. Buna ilişkin uygulamalar düzenli olarak izlenmekte ve izlem sonuçları paydaşlarla birlikte değerlendirilerek önlemler alınmaktadır.</w:t>
            </w:r>
          </w:p>
        </w:tc>
        <w:tc>
          <w:tcPr>
            <w:tcW w:w="708" w:type="dxa"/>
            <w:tcBorders>
              <w:top w:val="single" w:sz="12" w:space="0" w:color="auto"/>
              <w:bottom w:val="single" w:sz="12" w:space="0" w:color="auto"/>
            </w:tcBorders>
            <w:shd w:val="clear" w:color="auto" w:fill="FBE4D5" w:themeFill="accent2" w:themeFillTint="33"/>
            <w:vAlign w:val="center"/>
          </w:tcPr>
          <w:p w14:paraId="630F4793" w14:textId="2754B10A"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bottom w:val="single" w:sz="12" w:space="0" w:color="auto"/>
            </w:tcBorders>
            <w:shd w:val="clear" w:color="auto" w:fill="F7CAAC" w:themeFill="accent2" w:themeFillTint="66"/>
            <w:vAlign w:val="center"/>
          </w:tcPr>
          <w:p w14:paraId="6C447976"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D.3.1.</w:t>
            </w:r>
          </w:p>
          <w:p w14:paraId="08DEEFE6" w14:textId="08382086"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Toplumsal katkı performansının izlenmesi ve iyileştirilmesi</w:t>
            </w:r>
          </w:p>
        </w:tc>
        <w:tc>
          <w:tcPr>
            <w:tcW w:w="4961" w:type="dxa"/>
            <w:tcBorders>
              <w:top w:val="single" w:sz="12" w:space="0" w:color="auto"/>
              <w:bottom w:val="single" w:sz="12" w:space="0" w:color="auto"/>
            </w:tcBorders>
            <w:shd w:val="clear" w:color="auto" w:fill="F7CAAC" w:themeFill="accent2" w:themeFillTint="66"/>
            <w:vAlign w:val="center"/>
          </w:tcPr>
          <w:p w14:paraId="5C39CC16" w14:textId="5F512488" w:rsidR="00C1726B" w:rsidRPr="00B82F82" w:rsidRDefault="00197B2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toplumsal katkı performansı izlenmekte ve ilgili paydaşlarla değerlendirilerek iyileştirilmektedir.</w:t>
            </w:r>
          </w:p>
        </w:tc>
        <w:tc>
          <w:tcPr>
            <w:tcW w:w="709" w:type="dxa"/>
            <w:tcBorders>
              <w:top w:val="single" w:sz="12" w:space="0" w:color="auto"/>
              <w:bottom w:val="single" w:sz="12" w:space="0" w:color="auto"/>
              <w:right w:val="single" w:sz="12" w:space="0" w:color="auto"/>
            </w:tcBorders>
            <w:shd w:val="clear" w:color="auto" w:fill="F7CAAC" w:themeFill="accent2" w:themeFillTint="66"/>
            <w:vAlign w:val="center"/>
          </w:tcPr>
          <w:p w14:paraId="3057413C" w14:textId="08455AE0" w:rsidR="00C1726B" w:rsidRPr="003E232B" w:rsidRDefault="00C1726B"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0D7A72BB" w14:textId="77777777" w:rsidTr="00C70740">
        <w:trPr>
          <w:trHeight w:val="2410"/>
        </w:trPr>
        <w:tc>
          <w:tcPr>
            <w:tcW w:w="993" w:type="dxa"/>
            <w:vMerge w:val="restart"/>
            <w:tcBorders>
              <w:top w:val="single" w:sz="12" w:space="0" w:color="auto"/>
              <w:left w:val="single" w:sz="12" w:space="0" w:color="auto"/>
            </w:tcBorders>
            <w:shd w:val="clear" w:color="auto" w:fill="ACB9CA" w:themeFill="text2" w:themeFillTint="66"/>
            <w:textDirection w:val="btLr"/>
            <w:vAlign w:val="center"/>
          </w:tcPr>
          <w:p w14:paraId="78862B49"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lastRenderedPageBreak/>
              <w:t xml:space="preserve">E.1. </w:t>
            </w:r>
          </w:p>
          <w:p w14:paraId="36B36B1E" w14:textId="17CEEDD1"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Yönetim ve İdari Birimlerin Yapısı</w:t>
            </w:r>
          </w:p>
        </w:tc>
        <w:tc>
          <w:tcPr>
            <w:tcW w:w="1963" w:type="dxa"/>
            <w:tcBorders>
              <w:top w:val="single" w:sz="12" w:space="0" w:color="auto"/>
            </w:tcBorders>
            <w:shd w:val="clear" w:color="auto" w:fill="D5DCE4" w:themeFill="text2" w:themeFillTint="33"/>
            <w:vAlign w:val="center"/>
          </w:tcPr>
          <w:p w14:paraId="3E3781DC"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E.1.1. </w:t>
            </w:r>
          </w:p>
          <w:p w14:paraId="1C2122E9" w14:textId="638D4907"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Yönetim modeli ve idari yapı</w:t>
            </w:r>
          </w:p>
        </w:tc>
        <w:tc>
          <w:tcPr>
            <w:tcW w:w="4278" w:type="dxa"/>
            <w:tcBorders>
              <w:top w:val="single" w:sz="12" w:space="0" w:color="auto"/>
            </w:tcBorders>
            <w:shd w:val="clear" w:color="auto" w:fill="D5DCE4" w:themeFill="text2" w:themeFillTint="33"/>
            <w:vAlign w:val="center"/>
          </w:tcPr>
          <w:p w14:paraId="3E450349" w14:textId="6E9EB6BE"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çok sesliliği, etkin karar vermeyi, değişime uyum sağlamayı ve paydaşların temsil edilmesini güvence altına alan ve kurumsal amaçların gerçekleştirilmesi için gerekli ortamı sağlayan yönetim modeli ve idari yapılanması (yasal düzenlemeler çerçevesinde kurumsal yaklaşım, gelenekler, tercihler) kurumun tamamında benimsenmiştir; kurumun kendine özgü ve yenilikçi birçok uygulaması bulunmakta ve bu uygulamaların bir kısmı diğer kurumlar tarafından örnek alınmaktadır.</w:t>
            </w:r>
          </w:p>
        </w:tc>
        <w:tc>
          <w:tcPr>
            <w:tcW w:w="708" w:type="dxa"/>
            <w:tcBorders>
              <w:top w:val="single" w:sz="12" w:space="0" w:color="auto"/>
            </w:tcBorders>
            <w:shd w:val="clear" w:color="auto" w:fill="D5DCE4" w:themeFill="text2" w:themeFillTint="33"/>
            <w:vAlign w:val="center"/>
          </w:tcPr>
          <w:p w14:paraId="789BDBA9" w14:textId="3DED171F"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5</w:t>
            </w:r>
          </w:p>
        </w:tc>
        <w:tc>
          <w:tcPr>
            <w:tcW w:w="2268" w:type="dxa"/>
            <w:tcBorders>
              <w:top w:val="single" w:sz="12" w:space="0" w:color="auto"/>
            </w:tcBorders>
            <w:shd w:val="clear" w:color="auto" w:fill="ACB9CA" w:themeFill="text2" w:themeFillTint="66"/>
            <w:vAlign w:val="center"/>
          </w:tcPr>
          <w:p w14:paraId="0A66F3BC"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E.1.1. </w:t>
            </w:r>
          </w:p>
          <w:p w14:paraId="58B09A5B" w14:textId="3557F536"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Yönetim modeli ve idari yapı</w:t>
            </w:r>
          </w:p>
        </w:tc>
        <w:tc>
          <w:tcPr>
            <w:tcW w:w="4961" w:type="dxa"/>
            <w:tcBorders>
              <w:top w:val="single" w:sz="12" w:space="0" w:color="auto"/>
            </w:tcBorders>
            <w:shd w:val="clear" w:color="auto" w:fill="ACB9CA" w:themeFill="text2" w:themeFillTint="66"/>
            <w:vAlign w:val="center"/>
          </w:tcPr>
          <w:p w14:paraId="0E46E1ED" w14:textId="6BA5F4E3"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İçselleştirilmiş, sistematik, sürdürülebilir ve örnek gösterilebilir uygulamalar bulunmaktadır</w:t>
            </w:r>
          </w:p>
        </w:tc>
        <w:tc>
          <w:tcPr>
            <w:tcW w:w="709" w:type="dxa"/>
            <w:tcBorders>
              <w:top w:val="single" w:sz="12" w:space="0" w:color="auto"/>
              <w:right w:val="single" w:sz="12" w:space="0" w:color="auto"/>
            </w:tcBorders>
            <w:shd w:val="clear" w:color="auto" w:fill="ACB9CA" w:themeFill="text2" w:themeFillTint="66"/>
            <w:vAlign w:val="center"/>
          </w:tcPr>
          <w:p w14:paraId="5055FA91" w14:textId="4FDC5309"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5</w:t>
            </w:r>
          </w:p>
        </w:tc>
      </w:tr>
      <w:tr w:rsidR="00C1726B" w:rsidRPr="007843E6" w14:paraId="6AC60396" w14:textId="77777777" w:rsidTr="00C70740">
        <w:trPr>
          <w:trHeight w:val="1836"/>
        </w:trPr>
        <w:tc>
          <w:tcPr>
            <w:tcW w:w="993" w:type="dxa"/>
            <w:vMerge/>
            <w:tcBorders>
              <w:left w:val="single" w:sz="12" w:space="0" w:color="auto"/>
              <w:bottom w:val="single" w:sz="12" w:space="0" w:color="auto"/>
            </w:tcBorders>
            <w:shd w:val="clear" w:color="auto" w:fill="ACB9CA" w:themeFill="text2" w:themeFillTint="66"/>
            <w:textDirection w:val="btLr"/>
            <w:vAlign w:val="center"/>
          </w:tcPr>
          <w:p w14:paraId="392D0B72"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D5DCE4" w:themeFill="text2" w:themeFillTint="33"/>
            <w:vAlign w:val="center"/>
          </w:tcPr>
          <w:p w14:paraId="495BA394"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E.1.2. </w:t>
            </w:r>
          </w:p>
          <w:p w14:paraId="101CE2B8" w14:textId="4F31ECF0"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Süreç yönetimi</w:t>
            </w:r>
          </w:p>
        </w:tc>
        <w:tc>
          <w:tcPr>
            <w:tcW w:w="4278" w:type="dxa"/>
            <w:tcBorders>
              <w:bottom w:val="single" w:sz="12" w:space="0" w:color="auto"/>
            </w:tcBorders>
            <w:shd w:val="clear" w:color="auto" w:fill="D5DCE4" w:themeFill="text2" w:themeFillTint="33"/>
            <w:vAlign w:val="center"/>
          </w:tcPr>
          <w:p w14:paraId="3F325934" w14:textId="02E919B5"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stratejik hedeflerle uyumlu ve tüm alanları kapsayan süreç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c>
          <w:tcPr>
            <w:tcW w:w="708" w:type="dxa"/>
            <w:tcBorders>
              <w:bottom w:val="single" w:sz="12" w:space="0" w:color="auto"/>
            </w:tcBorders>
            <w:shd w:val="clear" w:color="auto" w:fill="D5DCE4" w:themeFill="text2" w:themeFillTint="33"/>
            <w:vAlign w:val="center"/>
          </w:tcPr>
          <w:p w14:paraId="0994E7C0" w14:textId="438BF8DD"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5</w:t>
            </w:r>
          </w:p>
        </w:tc>
        <w:tc>
          <w:tcPr>
            <w:tcW w:w="2268" w:type="dxa"/>
            <w:tcBorders>
              <w:bottom w:val="single" w:sz="12" w:space="0" w:color="auto"/>
            </w:tcBorders>
            <w:shd w:val="clear" w:color="auto" w:fill="ACB9CA" w:themeFill="text2" w:themeFillTint="66"/>
            <w:vAlign w:val="center"/>
          </w:tcPr>
          <w:p w14:paraId="06021363"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E.1.2. </w:t>
            </w:r>
          </w:p>
          <w:p w14:paraId="4D1B3905" w14:textId="242A4E14"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Süreç yönetimi</w:t>
            </w:r>
          </w:p>
        </w:tc>
        <w:tc>
          <w:tcPr>
            <w:tcW w:w="4961" w:type="dxa"/>
            <w:tcBorders>
              <w:bottom w:val="single" w:sz="12" w:space="0" w:color="auto"/>
            </w:tcBorders>
            <w:shd w:val="clear" w:color="auto" w:fill="ACB9CA" w:themeFill="text2" w:themeFillTint="66"/>
            <w:vAlign w:val="center"/>
          </w:tcPr>
          <w:p w14:paraId="308B6BA5" w14:textId="0A1E727F"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tanımlı süreçler yönetilmektedir.</w:t>
            </w:r>
          </w:p>
        </w:tc>
        <w:tc>
          <w:tcPr>
            <w:tcW w:w="709" w:type="dxa"/>
            <w:tcBorders>
              <w:bottom w:val="single" w:sz="12" w:space="0" w:color="auto"/>
              <w:right w:val="single" w:sz="12" w:space="0" w:color="auto"/>
            </w:tcBorders>
            <w:shd w:val="clear" w:color="auto" w:fill="ACB9CA" w:themeFill="text2" w:themeFillTint="66"/>
            <w:vAlign w:val="center"/>
          </w:tcPr>
          <w:p w14:paraId="6FAD69F0" w14:textId="2E81EED9" w:rsidR="00C1726B" w:rsidRPr="003E232B" w:rsidRDefault="008339AF" w:rsidP="00C1726B">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1726B" w:rsidRPr="007843E6" w14:paraId="58E7B243" w14:textId="77777777" w:rsidTr="00C70740">
        <w:trPr>
          <w:trHeight w:val="2670"/>
        </w:trPr>
        <w:tc>
          <w:tcPr>
            <w:tcW w:w="993" w:type="dxa"/>
            <w:vMerge w:val="restart"/>
            <w:tcBorders>
              <w:top w:val="single" w:sz="12" w:space="0" w:color="auto"/>
              <w:left w:val="single" w:sz="12" w:space="0" w:color="auto"/>
            </w:tcBorders>
            <w:shd w:val="clear" w:color="auto" w:fill="ACB9CA" w:themeFill="text2" w:themeFillTint="66"/>
            <w:textDirection w:val="btLr"/>
            <w:vAlign w:val="center"/>
          </w:tcPr>
          <w:p w14:paraId="44BC9C17"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E.2. </w:t>
            </w:r>
          </w:p>
          <w:p w14:paraId="4F21E1FD" w14:textId="4E3790D8"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Kaynakların Yönetimi</w:t>
            </w:r>
          </w:p>
        </w:tc>
        <w:tc>
          <w:tcPr>
            <w:tcW w:w="1963" w:type="dxa"/>
            <w:tcBorders>
              <w:top w:val="single" w:sz="12" w:space="0" w:color="auto"/>
            </w:tcBorders>
            <w:shd w:val="clear" w:color="auto" w:fill="D5DCE4" w:themeFill="text2" w:themeFillTint="33"/>
            <w:vAlign w:val="center"/>
          </w:tcPr>
          <w:p w14:paraId="086EED81"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E.2.1. </w:t>
            </w:r>
          </w:p>
          <w:p w14:paraId="61E78458" w14:textId="18081088"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İnsan kaynakları yönetimi</w:t>
            </w:r>
          </w:p>
        </w:tc>
        <w:tc>
          <w:tcPr>
            <w:tcW w:w="4278" w:type="dxa"/>
            <w:tcBorders>
              <w:top w:val="single" w:sz="12" w:space="0" w:color="auto"/>
            </w:tcBorders>
            <w:shd w:val="clear" w:color="auto" w:fill="D5DCE4" w:themeFill="text2" w:themeFillTint="33"/>
            <w:vAlign w:val="center"/>
          </w:tcPr>
          <w:p w14:paraId="09CD1138" w14:textId="25741636"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stratejik hedeflerle uyumlu ve tüm alanları kapsayan insan kaynakları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c>
          <w:tcPr>
            <w:tcW w:w="708" w:type="dxa"/>
            <w:tcBorders>
              <w:top w:val="single" w:sz="12" w:space="0" w:color="auto"/>
            </w:tcBorders>
            <w:shd w:val="clear" w:color="auto" w:fill="D5DCE4" w:themeFill="text2" w:themeFillTint="33"/>
            <w:vAlign w:val="center"/>
          </w:tcPr>
          <w:p w14:paraId="1B1A3E61" w14:textId="7184EA5C"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5</w:t>
            </w:r>
          </w:p>
        </w:tc>
        <w:tc>
          <w:tcPr>
            <w:tcW w:w="2268" w:type="dxa"/>
            <w:tcBorders>
              <w:top w:val="single" w:sz="12" w:space="0" w:color="auto"/>
            </w:tcBorders>
            <w:shd w:val="clear" w:color="auto" w:fill="ACB9CA" w:themeFill="text2" w:themeFillTint="66"/>
            <w:vAlign w:val="center"/>
          </w:tcPr>
          <w:p w14:paraId="43635611"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E.2.1. </w:t>
            </w:r>
          </w:p>
          <w:p w14:paraId="1D4A1FD4" w14:textId="2FE6C6BF"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İnsan kaynakları yönetimi</w:t>
            </w:r>
          </w:p>
        </w:tc>
        <w:tc>
          <w:tcPr>
            <w:tcW w:w="4961" w:type="dxa"/>
            <w:tcBorders>
              <w:top w:val="single" w:sz="12" w:space="0" w:color="auto"/>
            </w:tcBorders>
            <w:shd w:val="clear" w:color="auto" w:fill="ACB9CA" w:themeFill="text2" w:themeFillTint="66"/>
            <w:vAlign w:val="center"/>
          </w:tcPr>
          <w:p w14:paraId="58D7C915" w14:textId="28674837"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İçselleştirilmiş, sistematik, sürdürülebilir ve örnek gösterilebilir uygulamalar bulunmaktadır.</w:t>
            </w:r>
          </w:p>
        </w:tc>
        <w:tc>
          <w:tcPr>
            <w:tcW w:w="709" w:type="dxa"/>
            <w:tcBorders>
              <w:top w:val="single" w:sz="12" w:space="0" w:color="auto"/>
              <w:right w:val="single" w:sz="12" w:space="0" w:color="auto"/>
            </w:tcBorders>
            <w:shd w:val="clear" w:color="auto" w:fill="ACB9CA" w:themeFill="text2" w:themeFillTint="66"/>
            <w:vAlign w:val="center"/>
          </w:tcPr>
          <w:p w14:paraId="694A0D28" w14:textId="57E13562"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5</w:t>
            </w:r>
          </w:p>
        </w:tc>
      </w:tr>
      <w:tr w:rsidR="00C1726B" w:rsidRPr="007843E6" w14:paraId="3A1AB32D" w14:textId="77777777" w:rsidTr="00C70740">
        <w:trPr>
          <w:trHeight w:val="1833"/>
        </w:trPr>
        <w:tc>
          <w:tcPr>
            <w:tcW w:w="993" w:type="dxa"/>
            <w:vMerge/>
            <w:tcBorders>
              <w:left w:val="single" w:sz="12" w:space="0" w:color="auto"/>
              <w:bottom w:val="single" w:sz="12" w:space="0" w:color="auto"/>
            </w:tcBorders>
            <w:shd w:val="clear" w:color="auto" w:fill="ACB9CA" w:themeFill="text2" w:themeFillTint="66"/>
            <w:textDirection w:val="btLr"/>
            <w:vAlign w:val="center"/>
          </w:tcPr>
          <w:p w14:paraId="6B9B5876"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D5DCE4" w:themeFill="text2" w:themeFillTint="33"/>
            <w:vAlign w:val="center"/>
          </w:tcPr>
          <w:p w14:paraId="29065F1F"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E.2.2. </w:t>
            </w:r>
          </w:p>
          <w:p w14:paraId="419D9DDB" w14:textId="6FFBC6CB"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Finansal kaynakların yönetimi</w:t>
            </w:r>
          </w:p>
        </w:tc>
        <w:tc>
          <w:tcPr>
            <w:tcW w:w="4278" w:type="dxa"/>
            <w:tcBorders>
              <w:bottom w:val="single" w:sz="12" w:space="0" w:color="auto"/>
            </w:tcBorders>
            <w:shd w:val="clear" w:color="auto" w:fill="D5DCE4" w:themeFill="text2" w:themeFillTint="33"/>
            <w:vAlign w:val="center"/>
          </w:tcPr>
          <w:p w14:paraId="56BD9F1E" w14:textId="5A35B5A4"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708" w:type="dxa"/>
            <w:tcBorders>
              <w:bottom w:val="single" w:sz="12" w:space="0" w:color="auto"/>
            </w:tcBorders>
            <w:shd w:val="clear" w:color="auto" w:fill="D5DCE4" w:themeFill="text2" w:themeFillTint="33"/>
            <w:vAlign w:val="center"/>
          </w:tcPr>
          <w:p w14:paraId="438E2375" w14:textId="59863E00"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ACB9CA" w:themeFill="text2" w:themeFillTint="66"/>
            <w:vAlign w:val="center"/>
          </w:tcPr>
          <w:p w14:paraId="372F6F14"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E.2.2. </w:t>
            </w:r>
          </w:p>
          <w:p w14:paraId="6E7A1371" w14:textId="0AE61139"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Finansal kaynakların yönetimi</w:t>
            </w:r>
          </w:p>
        </w:tc>
        <w:tc>
          <w:tcPr>
            <w:tcW w:w="4961" w:type="dxa"/>
            <w:tcBorders>
              <w:bottom w:val="single" w:sz="12" w:space="0" w:color="auto"/>
            </w:tcBorders>
            <w:shd w:val="clear" w:color="auto" w:fill="ACB9CA" w:themeFill="text2" w:themeFillTint="66"/>
            <w:vAlign w:val="center"/>
          </w:tcPr>
          <w:p w14:paraId="3EF30603" w14:textId="3FB3C42F"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İçselleştirilmiş, sistematik, sürdürülebilir ve örnek gösterilebilir uygulamalar bulunmaktadır.</w:t>
            </w:r>
          </w:p>
        </w:tc>
        <w:tc>
          <w:tcPr>
            <w:tcW w:w="709" w:type="dxa"/>
            <w:tcBorders>
              <w:bottom w:val="single" w:sz="12" w:space="0" w:color="auto"/>
              <w:right w:val="single" w:sz="12" w:space="0" w:color="auto"/>
            </w:tcBorders>
            <w:shd w:val="clear" w:color="auto" w:fill="ACB9CA" w:themeFill="text2" w:themeFillTint="66"/>
            <w:vAlign w:val="center"/>
          </w:tcPr>
          <w:p w14:paraId="0C3A7803" w14:textId="75C9CB69"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5</w:t>
            </w:r>
          </w:p>
        </w:tc>
      </w:tr>
      <w:tr w:rsidR="00C1726B" w:rsidRPr="007843E6" w14:paraId="698205BE" w14:textId="77777777" w:rsidTr="00C70740">
        <w:trPr>
          <w:trHeight w:val="1181"/>
        </w:trPr>
        <w:tc>
          <w:tcPr>
            <w:tcW w:w="993" w:type="dxa"/>
            <w:vMerge w:val="restart"/>
            <w:tcBorders>
              <w:top w:val="single" w:sz="12" w:space="0" w:color="auto"/>
              <w:left w:val="single" w:sz="12" w:space="0" w:color="auto"/>
            </w:tcBorders>
            <w:shd w:val="clear" w:color="auto" w:fill="ACB9CA" w:themeFill="text2" w:themeFillTint="66"/>
            <w:textDirection w:val="btLr"/>
            <w:vAlign w:val="center"/>
          </w:tcPr>
          <w:p w14:paraId="750C1909"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lastRenderedPageBreak/>
              <w:t xml:space="preserve">E.3. </w:t>
            </w:r>
          </w:p>
          <w:p w14:paraId="11816790" w14:textId="12BCEE3B"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Bilgi Yönetim Sistemi</w:t>
            </w:r>
          </w:p>
        </w:tc>
        <w:tc>
          <w:tcPr>
            <w:tcW w:w="1963" w:type="dxa"/>
            <w:tcBorders>
              <w:top w:val="single" w:sz="12" w:space="0" w:color="auto"/>
            </w:tcBorders>
            <w:shd w:val="clear" w:color="auto" w:fill="D5DCE4" w:themeFill="text2" w:themeFillTint="33"/>
            <w:vAlign w:val="center"/>
          </w:tcPr>
          <w:p w14:paraId="2E097099"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E.3.1. </w:t>
            </w:r>
          </w:p>
          <w:p w14:paraId="2C6EC49F" w14:textId="7787C124"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Entegre bilgi yönetim sistemi</w:t>
            </w:r>
          </w:p>
        </w:tc>
        <w:tc>
          <w:tcPr>
            <w:tcW w:w="4278" w:type="dxa"/>
            <w:tcBorders>
              <w:top w:val="single" w:sz="12" w:space="0" w:color="auto"/>
            </w:tcBorders>
            <w:shd w:val="clear" w:color="auto" w:fill="D5DCE4" w:themeFill="text2" w:themeFillTint="33"/>
            <w:vAlign w:val="center"/>
          </w:tcPr>
          <w:p w14:paraId="3079E247" w14:textId="07D9BBD2"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kurumsal bilginin edinimi, saklanması ve kullanılmasına destek olacak bilgi yönetim sistemleri bulunmaktadır. Ancak bu sistemler birbirleriyle bütünleşik değildir veya tüm alanları kapsamamaktadır.</w:t>
            </w:r>
          </w:p>
        </w:tc>
        <w:tc>
          <w:tcPr>
            <w:tcW w:w="708" w:type="dxa"/>
            <w:tcBorders>
              <w:top w:val="single" w:sz="12" w:space="0" w:color="auto"/>
            </w:tcBorders>
            <w:shd w:val="clear" w:color="auto" w:fill="D5DCE4" w:themeFill="text2" w:themeFillTint="33"/>
            <w:vAlign w:val="center"/>
          </w:tcPr>
          <w:p w14:paraId="4EEA8174" w14:textId="47071FB6"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2</w:t>
            </w:r>
          </w:p>
        </w:tc>
        <w:tc>
          <w:tcPr>
            <w:tcW w:w="2268" w:type="dxa"/>
            <w:tcBorders>
              <w:top w:val="single" w:sz="12" w:space="0" w:color="auto"/>
            </w:tcBorders>
            <w:shd w:val="clear" w:color="auto" w:fill="ACB9CA" w:themeFill="text2" w:themeFillTint="66"/>
            <w:vAlign w:val="center"/>
          </w:tcPr>
          <w:p w14:paraId="1DE7E97E"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E.3.1. </w:t>
            </w:r>
          </w:p>
          <w:p w14:paraId="6E98ACA8" w14:textId="2E66195E"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Entegre bilgi yönetim sistemi</w:t>
            </w:r>
          </w:p>
        </w:tc>
        <w:tc>
          <w:tcPr>
            <w:tcW w:w="4961" w:type="dxa"/>
            <w:tcBorders>
              <w:top w:val="single" w:sz="12" w:space="0" w:color="auto"/>
            </w:tcBorders>
            <w:shd w:val="clear" w:color="auto" w:fill="ACB9CA" w:themeFill="text2" w:themeFillTint="66"/>
            <w:vAlign w:val="center"/>
          </w:tcPr>
          <w:p w14:paraId="157519CF" w14:textId="5C48C41E"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kurumsal bilginin edinimi, saklanması, kullanılması, işlenmesi ve değerlendirilmesine destek olacak bilgi yönetim sistemleri oluşturulmuştur.</w:t>
            </w:r>
          </w:p>
        </w:tc>
        <w:tc>
          <w:tcPr>
            <w:tcW w:w="709" w:type="dxa"/>
            <w:tcBorders>
              <w:top w:val="single" w:sz="12" w:space="0" w:color="auto"/>
              <w:right w:val="single" w:sz="12" w:space="0" w:color="auto"/>
            </w:tcBorders>
            <w:shd w:val="clear" w:color="auto" w:fill="ACB9CA" w:themeFill="text2" w:themeFillTint="66"/>
            <w:vAlign w:val="center"/>
          </w:tcPr>
          <w:p w14:paraId="486BC56F" w14:textId="598D810A"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2</w:t>
            </w:r>
          </w:p>
        </w:tc>
      </w:tr>
      <w:tr w:rsidR="00C1726B" w:rsidRPr="007843E6" w14:paraId="2B4B192E" w14:textId="77777777" w:rsidTr="00C70740">
        <w:trPr>
          <w:trHeight w:val="1545"/>
        </w:trPr>
        <w:tc>
          <w:tcPr>
            <w:tcW w:w="993" w:type="dxa"/>
            <w:vMerge/>
            <w:tcBorders>
              <w:left w:val="single" w:sz="12" w:space="0" w:color="auto"/>
              <w:bottom w:val="single" w:sz="12" w:space="0" w:color="auto"/>
            </w:tcBorders>
            <w:shd w:val="clear" w:color="auto" w:fill="ACB9CA" w:themeFill="text2" w:themeFillTint="66"/>
            <w:textDirection w:val="btLr"/>
            <w:vAlign w:val="center"/>
          </w:tcPr>
          <w:p w14:paraId="239AB5E3" w14:textId="77777777" w:rsidR="00C1726B" w:rsidRPr="00C70740" w:rsidRDefault="00C1726B" w:rsidP="00C1726B">
            <w:pPr>
              <w:ind w:left="113" w:right="113"/>
              <w:jc w:val="center"/>
              <w:rPr>
                <w:rFonts w:ascii="Times New Roman" w:hAnsi="Times New Roman" w:cs="Times New Roman"/>
                <w:b/>
                <w:bCs/>
                <w:sz w:val="20"/>
                <w:szCs w:val="20"/>
              </w:rPr>
            </w:pPr>
          </w:p>
        </w:tc>
        <w:tc>
          <w:tcPr>
            <w:tcW w:w="1963" w:type="dxa"/>
            <w:tcBorders>
              <w:bottom w:val="single" w:sz="12" w:space="0" w:color="auto"/>
            </w:tcBorders>
            <w:shd w:val="clear" w:color="auto" w:fill="D5DCE4" w:themeFill="text2" w:themeFillTint="33"/>
            <w:vAlign w:val="center"/>
          </w:tcPr>
          <w:p w14:paraId="2BA63DE9" w14:textId="0E99679C"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E</w:t>
            </w:r>
            <w:r>
              <w:rPr>
                <w:rFonts w:ascii="Times New Roman" w:hAnsi="Times New Roman" w:cs="Times New Roman"/>
                <w:b/>
                <w:bCs/>
                <w:sz w:val="18"/>
                <w:szCs w:val="18"/>
              </w:rPr>
              <w:t>.</w:t>
            </w:r>
            <w:r w:rsidRPr="00263D88">
              <w:rPr>
                <w:rFonts w:ascii="Times New Roman" w:hAnsi="Times New Roman" w:cs="Times New Roman"/>
                <w:b/>
                <w:bCs/>
                <w:sz w:val="18"/>
                <w:szCs w:val="18"/>
              </w:rPr>
              <w:t xml:space="preserve">3.2. </w:t>
            </w:r>
          </w:p>
          <w:p w14:paraId="01407905" w14:textId="32957B41"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Bilgi güvenliği ve güvenilirliği</w:t>
            </w:r>
          </w:p>
        </w:tc>
        <w:tc>
          <w:tcPr>
            <w:tcW w:w="4278" w:type="dxa"/>
            <w:tcBorders>
              <w:bottom w:val="single" w:sz="12" w:space="0" w:color="auto"/>
            </w:tcBorders>
            <w:shd w:val="clear" w:color="auto" w:fill="D5DCE4" w:themeFill="text2" w:themeFillTint="33"/>
            <w:vAlign w:val="center"/>
          </w:tcPr>
          <w:p w14:paraId="216F6718" w14:textId="1F56BFC4"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bilgi güvenliği ve güvenirliğinin sağlanmasına yönelik uygulamalar sistematik olarak izlenmekte ve izlem sonuçları paydaşlarla birlikte değerlendirilerek önlemler alınmaktadır.</w:t>
            </w:r>
          </w:p>
        </w:tc>
        <w:tc>
          <w:tcPr>
            <w:tcW w:w="708" w:type="dxa"/>
            <w:tcBorders>
              <w:bottom w:val="single" w:sz="12" w:space="0" w:color="auto"/>
            </w:tcBorders>
            <w:shd w:val="clear" w:color="auto" w:fill="D5DCE4" w:themeFill="text2" w:themeFillTint="33"/>
            <w:vAlign w:val="center"/>
          </w:tcPr>
          <w:p w14:paraId="49D2D8FD" w14:textId="5E077E4B"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ACB9CA" w:themeFill="text2" w:themeFillTint="66"/>
            <w:vAlign w:val="center"/>
          </w:tcPr>
          <w:p w14:paraId="2E5C0F6D"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E.3.2. </w:t>
            </w:r>
          </w:p>
          <w:p w14:paraId="7EB1CBB0" w14:textId="7C24E46C"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Bilgi güvenliği ve güvenilirliği</w:t>
            </w:r>
          </w:p>
        </w:tc>
        <w:tc>
          <w:tcPr>
            <w:tcW w:w="4961" w:type="dxa"/>
            <w:tcBorders>
              <w:bottom w:val="single" w:sz="12" w:space="0" w:color="auto"/>
            </w:tcBorders>
            <w:shd w:val="clear" w:color="auto" w:fill="ACB9CA" w:themeFill="text2" w:themeFillTint="66"/>
            <w:vAlign w:val="center"/>
          </w:tcPr>
          <w:p w14:paraId="38DB3C03" w14:textId="7224893D"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Kurumda bilgi güvenliği ve güvenirliğinin sağlanmasına yönelik uygulamalar izlenmekte ve iyileştirilmektedir.</w:t>
            </w:r>
          </w:p>
        </w:tc>
        <w:tc>
          <w:tcPr>
            <w:tcW w:w="709" w:type="dxa"/>
            <w:tcBorders>
              <w:bottom w:val="single" w:sz="12" w:space="0" w:color="auto"/>
              <w:right w:val="single" w:sz="12" w:space="0" w:color="auto"/>
            </w:tcBorders>
            <w:shd w:val="clear" w:color="auto" w:fill="ACB9CA" w:themeFill="text2" w:themeFillTint="66"/>
            <w:vAlign w:val="center"/>
          </w:tcPr>
          <w:p w14:paraId="4D9A1602" w14:textId="249C4D41"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C1726B" w:rsidRPr="007843E6" w14:paraId="4C3C3D3C" w14:textId="77777777" w:rsidTr="00C70740">
        <w:trPr>
          <w:cantSplit/>
          <w:trHeight w:val="1705"/>
        </w:trPr>
        <w:tc>
          <w:tcPr>
            <w:tcW w:w="993" w:type="dxa"/>
            <w:tcBorders>
              <w:top w:val="single" w:sz="12" w:space="0" w:color="auto"/>
              <w:left w:val="single" w:sz="12" w:space="0" w:color="auto"/>
              <w:bottom w:val="single" w:sz="12" w:space="0" w:color="auto"/>
            </w:tcBorders>
            <w:shd w:val="clear" w:color="auto" w:fill="ACB9CA" w:themeFill="text2" w:themeFillTint="66"/>
            <w:textDirection w:val="btLr"/>
            <w:vAlign w:val="center"/>
          </w:tcPr>
          <w:p w14:paraId="0855799D"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E.4. </w:t>
            </w:r>
          </w:p>
          <w:p w14:paraId="0A70F2AF" w14:textId="6C2952AC"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Destek Hizmetleri</w:t>
            </w:r>
          </w:p>
        </w:tc>
        <w:tc>
          <w:tcPr>
            <w:tcW w:w="1963" w:type="dxa"/>
            <w:tcBorders>
              <w:top w:val="single" w:sz="12" w:space="0" w:color="auto"/>
              <w:bottom w:val="single" w:sz="12" w:space="0" w:color="auto"/>
            </w:tcBorders>
            <w:shd w:val="clear" w:color="auto" w:fill="D5DCE4" w:themeFill="text2" w:themeFillTint="33"/>
            <w:vAlign w:val="center"/>
          </w:tcPr>
          <w:p w14:paraId="36482B79" w14:textId="623E0B00"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E</w:t>
            </w:r>
            <w:r>
              <w:rPr>
                <w:rFonts w:ascii="Times New Roman" w:hAnsi="Times New Roman" w:cs="Times New Roman"/>
                <w:b/>
                <w:bCs/>
                <w:sz w:val="18"/>
                <w:szCs w:val="18"/>
              </w:rPr>
              <w:t>.</w:t>
            </w:r>
            <w:r w:rsidRPr="00263D88">
              <w:rPr>
                <w:rFonts w:ascii="Times New Roman" w:hAnsi="Times New Roman" w:cs="Times New Roman"/>
                <w:b/>
                <w:bCs/>
                <w:sz w:val="18"/>
                <w:szCs w:val="18"/>
              </w:rPr>
              <w:t xml:space="preserve">4.1. </w:t>
            </w:r>
          </w:p>
          <w:p w14:paraId="2A1AC8A1" w14:textId="6A721979"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Hizmet ve malların uygunluğu, kalitesi ve sürekliliği</w:t>
            </w:r>
          </w:p>
        </w:tc>
        <w:tc>
          <w:tcPr>
            <w:tcW w:w="4278" w:type="dxa"/>
            <w:tcBorders>
              <w:top w:val="single" w:sz="12" w:space="0" w:color="auto"/>
              <w:bottom w:val="single" w:sz="12" w:space="0" w:color="auto"/>
            </w:tcBorders>
            <w:shd w:val="clear" w:color="auto" w:fill="D5DCE4" w:themeFill="text2" w:themeFillTint="33"/>
            <w:vAlign w:val="center"/>
          </w:tcPr>
          <w:p w14:paraId="608F884A" w14:textId="3665621F"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 alınmaktadır.</w:t>
            </w:r>
          </w:p>
        </w:tc>
        <w:tc>
          <w:tcPr>
            <w:tcW w:w="708" w:type="dxa"/>
            <w:tcBorders>
              <w:top w:val="single" w:sz="12" w:space="0" w:color="auto"/>
              <w:bottom w:val="single" w:sz="12" w:space="0" w:color="auto"/>
            </w:tcBorders>
            <w:shd w:val="clear" w:color="auto" w:fill="D5DCE4" w:themeFill="text2" w:themeFillTint="33"/>
            <w:vAlign w:val="center"/>
          </w:tcPr>
          <w:p w14:paraId="7D6C5F20" w14:textId="09B885BF"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bottom w:val="single" w:sz="12" w:space="0" w:color="auto"/>
            </w:tcBorders>
            <w:shd w:val="clear" w:color="auto" w:fill="ACB9CA" w:themeFill="text2" w:themeFillTint="66"/>
            <w:vAlign w:val="center"/>
          </w:tcPr>
          <w:p w14:paraId="7C62AE2D"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E.4.1. </w:t>
            </w:r>
          </w:p>
          <w:p w14:paraId="01488324" w14:textId="7617714E"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Hizmet ve malların uygunluğu, kalitesi ve sürekliliği</w:t>
            </w:r>
          </w:p>
        </w:tc>
        <w:tc>
          <w:tcPr>
            <w:tcW w:w="4961" w:type="dxa"/>
            <w:tcBorders>
              <w:top w:val="single" w:sz="12" w:space="0" w:color="auto"/>
              <w:bottom w:val="single" w:sz="12" w:space="0" w:color="auto"/>
            </w:tcBorders>
            <w:shd w:val="clear" w:color="auto" w:fill="ACB9CA" w:themeFill="text2" w:themeFillTint="66"/>
            <w:vAlign w:val="center"/>
          </w:tcPr>
          <w:p w14:paraId="418A47DC" w14:textId="05E019C0"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Kurumun genelinde dışarıdan temin edilen destek hizmetlerin ve malların uygunluğunu, kalitesini ve sürekliliğini sağlayan mekanizmalar işletilmektedir.</w:t>
            </w:r>
          </w:p>
        </w:tc>
        <w:tc>
          <w:tcPr>
            <w:tcW w:w="709" w:type="dxa"/>
            <w:tcBorders>
              <w:top w:val="single" w:sz="12" w:space="0" w:color="auto"/>
              <w:bottom w:val="single" w:sz="12" w:space="0" w:color="auto"/>
              <w:right w:val="single" w:sz="12" w:space="0" w:color="auto"/>
            </w:tcBorders>
            <w:shd w:val="clear" w:color="auto" w:fill="ACB9CA" w:themeFill="text2" w:themeFillTint="66"/>
            <w:vAlign w:val="center"/>
          </w:tcPr>
          <w:p w14:paraId="70F398DD" w14:textId="1B4C6A51"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3</w:t>
            </w:r>
          </w:p>
        </w:tc>
      </w:tr>
      <w:tr w:rsidR="00C1726B" w:rsidRPr="007843E6" w14:paraId="53741084" w14:textId="77777777" w:rsidTr="00C70740">
        <w:trPr>
          <w:trHeight w:val="1109"/>
        </w:trPr>
        <w:tc>
          <w:tcPr>
            <w:tcW w:w="993" w:type="dxa"/>
            <w:vMerge w:val="restart"/>
            <w:tcBorders>
              <w:top w:val="single" w:sz="12" w:space="0" w:color="auto"/>
              <w:left w:val="single" w:sz="12" w:space="0" w:color="auto"/>
            </w:tcBorders>
            <w:shd w:val="clear" w:color="auto" w:fill="ACB9CA" w:themeFill="text2" w:themeFillTint="66"/>
            <w:textDirection w:val="btLr"/>
            <w:vAlign w:val="center"/>
          </w:tcPr>
          <w:p w14:paraId="4370909C" w14:textId="77777777"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 xml:space="preserve">E.5. </w:t>
            </w:r>
          </w:p>
          <w:p w14:paraId="44F975E2" w14:textId="52272984" w:rsidR="00C1726B" w:rsidRPr="00C70740" w:rsidRDefault="00C1726B" w:rsidP="00C1726B">
            <w:pPr>
              <w:ind w:left="113" w:right="113"/>
              <w:jc w:val="center"/>
              <w:rPr>
                <w:rFonts w:ascii="Times New Roman" w:hAnsi="Times New Roman" w:cs="Times New Roman"/>
                <w:b/>
                <w:bCs/>
                <w:sz w:val="20"/>
                <w:szCs w:val="20"/>
              </w:rPr>
            </w:pPr>
            <w:r w:rsidRPr="00C70740">
              <w:rPr>
                <w:rFonts w:ascii="Times New Roman" w:hAnsi="Times New Roman" w:cs="Times New Roman"/>
                <w:b/>
                <w:bCs/>
                <w:sz w:val="20"/>
                <w:szCs w:val="20"/>
              </w:rPr>
              <w:t>Kamuoyunu Bilgilendirme ve Hesap Verebilirlik</w:t>
            </w:r>
          </w:p>
        </w:tc>
        <w:tc>
          <w:tcPr>
            <w:tcW w:w="1963" w:type="dxa"/>
            <w:tcBorders>
              <w:top w:val="single" w:sz="12" w:space="0" w:color="auto"/>
            </w:tcBorders>
            <w:shd w:val="clear" w:color="auto" w:fill="D5DCE4" w:themeFill="text2" w:themeFillTint="33"/>
            <w:vAlign w:val="center"/>
          </w:tcPr>
          <w:p w14:paraId="12CDABC4"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E.5.1. </w:t>
            </w:r>
          </w:p>
          <w:p w14:paraId="312C423C" w14:textId="5C02C673"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Kamuoyunu bilgilendirme</w:t>
            </w:r>
            <w:r>
              <w:rPr>
                <w:rFonts w:ascii="Times New Roman" w:hAnsi="Times New Roman" w:cs="Times New Roman"/>
                <w:sz w:val="18"/>
                <w:szCs w:val="18"/>
              </w:rPr>
              <w:t xml:space="preserve"> </w:t>
            </w:r>
            <w:r w:rsidRPr="0032330C">
              <w:rPr>
                <w:rFonts w:ascii="Times New Roman" w:hAnsi="Times New Roman" w:cs="Times New Roman"/>
                <w:b/>
                <w:bCs/>
                <w:sz w:val="18"/>
                <w:szCs w:val="18"/>
              </w:rPr>
              <w:t>ve hesap verebilirlik</w:t>
            </w:r>
          </w:p>
        </w:tc>
        <w:tc>
          <w:tcPr>
            <w:tcW w:w="4278" w:type="dxa"/>
            <w:tcBorders>
              <w:top w:val="single" w:sz="12" w:space="0" w:color="auto"/>
            </w:tcBorders>
            <w:shd w:val="clear" w:color="auto" w:fill="D5DCE4" w:themeFill="text2" w:themeFillTint="33"/>
            <w:vAlign w:val="center"/>
          </w:tcPr>
          <w:p w14:paraId="09F5B731" w14:textId="2433E5F8"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kamuoyunu bilgilendirme faaliyetlerine ilişkin bulgular izlenmekte, paydaş görüşleri alınmakta ve izlem sonuçları paydaşlarla birlikte değerlendirilerek önlemler alınmaktadır.</w:t>
            </w:r>
          </w:p>
        </w:tc>
        <w:tc>
          <w:tcPr>
            <w:tcW w:w="708" w:type="dxa"/>
            <w:tcBorders>
              <w:top w:val="single" w:sz="12" w:space="0" w:color="auto"/>
            </w:tcBorders>
            <w:shd w:val="clear" w:color="auto" w:fill="D5DCE4" w:themeFill="text2" w:themeFillTint="33"/>
            <w:vAlign w:val="center"/>
          </w:tcPr>
          <w:p w14:paraId="3281798A" w14:textId="760A116A"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top w:val="single" w:sz="12" w:space="0" w:color="auto"/>
            </w:tcBorders>
            <w:shd w:val="clear" w:color="auto" w:fill="ACB9CA" w:themeFill="text2" w:themeFillTint="66"/>
            <w:vAlign w:val="center"/>
          </w:tcPr>
          <w:p w14:paraId="5D851F72" w14:textId="77777777" w:rsidR="00C1726B" w:rsidRPr="00B82F82" w:rsidRDefault="00C1726B" w:rsidP="00C1726B">
            <w:pPr>
              <w:jc w:val="both"/>
              <w:rPr>
                <w:rFonts w:ascii="Times New Roman" w:hAnsi="Times New Roman" w:cs="Times New Roman"/>
                <w:b/>
                <w:bCs/>
                <w:sz w:val="20"/>
                <w:szCs w:val="20"/>
              </w:rPr>
            </w:pPr>
            <w:r w:rsidRPr="00B82F82">
              <w:rPr>
                <w:rFonts w:ascii="Times New Roman" w:hAnsi="Times New Roman" w:cs="Times New Roman"/>
                <w:b/>
                <w:bCs/>
                <w:sz w:val="20"/>
                <w:szCs w:val="20"/>
              </w:rPr>
              <w:t xml:space="preserve">E.5.1. </w:t>
            </w:r>
          </w:p>
          <w:p w14:paraId="675DD298" w14:textId="18A3C339" w:rsidR="00C1726B" w:rsidRPr="00B82F82" w:rsidRDefault="00C1726B" w:rsidP="00C1726B">
            <w:pPr>
              <w:rPr>
                <w:rFonts w:ascii="Times New Roman" w:hAnsi="Times New Roman" w:cs="Times New Roman"/>
                <w:sz w:val="20"/>
                <w:szCs w:val="20"/>
              </w:rPr>
            </w:pPr>
            <w:r w:rsidRPr="00B82F82">
              <w:rPr>
                <w:rFonts w:ascii="Times New Roman" w:hAnsi="Times New Roman" w:cs="Times New Roman"/>
                <w:sz w:val="20"/>
                <w:szCs w:val="20"/>
              </w:rPr>
              <w:t>Kamuoyunu bilgilendirme ve hesap verebilirlik</w:t>
            </w:r>
          </w:p>
        </w:tc>
        <w:tc>
          <w:tcPr>
            <w:tcW w:w="4961" w:type="dxa"/>
            <w:tcBorders>
              <w:top w:val="single" w:sz="12" w:space="0" w:color="auto"/>
            </w:tcBorders>
            <w:shd w:val="clear" w:color="auto" w:fill="ACB9CA" w:themeFill="text2" w:themeFillTint="66"/>
            <w:vAlign w:val="center"/>
          </w:tcPr>
          <w:p w14:paraId="2C207974" w14:textId="55DBABE2" w:rsidR="00C1726B" w:rsidRPr="00B82F82" w:rsidRDefault="00C1726B" w:rsidP="00C1726B">
            <w:pPr>
              <w:jc w:val="both"/>
              <w:rPr>
                <w:rFonts w:ascii="Times New Roman" w:hAnsi="Times New Roman" w:cs="Times New Roman"/>
                <w:sz w:val="20"/>
                <w:szCs w:val="20"/>
              </w:rPr>
            </w:pPr>
            <w:r w:rsidRPr="00B82F82">
              <w:rPr>
                <w:rFonts w:ascii="Times New Roman" w:hAnsi="Times New Roman" w:cs="Times New Roman"/>
                <w:sz w:val="20"/>
                <w:szCs w:val="20"/>
              </w:rPr>
              <w:t>Kurumun kamuoyunu bilgilendirme ve hesap verebilirlik mekanizmaları izlenmekte ve paydaş görüşleri doğrultusunda iyileştirilmektedir.</w:t>
            </w:r>
          </w:p>
        </w:tc>
        <w:tc>
          <w:tcPr>
            <w:tcW w:w="709" w:type="dxa"/>
            <w:tcBorders>
              <w:top w:val="single" w:sz="12" w:space="0" w:color="auto"/>
              <w:right w:val="single" w:sz="12" w:space="0" w:color="auto"/>
            </w:tcBorders>
            <w:shd w:val="clear" w:color="auto" w:fill="ACB9CA" w:themeFill="text2" w:themeFillTint="66"/>
            <w:vAlign w:val="center"/>
          </w:tcPr>
          <w:p w14:paraId="74E01434" w14:textId="5D9765A3"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4</w:t>
            </w:r>
          </w:p>
        </w:tc>
      </w:tr>
      <w:tr w:rsidR="00C1726B" w:rsidRPr="007843E6" w14:paraId="29622D6C" w14:textId="77777777" w:rsidTr="00C70740">
        <w:trPr>
          <w:trHeight w:val="1518"/>
        </w:trPr>
        <w:tc>
          <w:tcPr>
            <w:tcW w:w="993" w:type="dxa"/>
            <w:vMerge/>
            <w:tcBorders>
              <w:left w:val="single" w:sz="12" w:space="0" w:color="auto"/>
              <w:bottom w:val="single" w:sz="12" w:space="0" w:color="auto"/>
            </w:tcBorders>
            <w:shd w:val="clear" w:color="auto" w:fill="ACB9CA" w:themeFill="text2" w:themeFillTint="66"/>
            <w:vAlign w:val="center"/>
          </w:tcPr>
          <w:p w14:paraId="68D54D12" w14:textId="77777777" w:rsidR="00C1726B" w:rsidRPr="007843E6" w:rsidRDefault="00C1726B" w:rsidP="00C1726B">
            <w:pPr>
              <w:rPr>
                <w:rFonts w:ascii="Times New Roman" w:hAnsi="Times New Roman" w:cs="Times New Roman"/>
                <w:sz w:val="18"/>
                <w:szCs w:val="18"/>
              </w:rPr>
            </w:pPr>
          </w:p>
        </w:tc>
        <w:tc>
          <w:tcPr>
            <w:tcW w:w="1963" w:type="dxa"/>
            <w:tcBorders>
              <w:bottom w:val="single" w:sz="12" w:space="0" w:color="auto"/>
            </w:tcBorders>
            <w:shd w:val="clear" w:color="auto" w:fill="D5DCE4" w:themeFill="text2" w:themeFillTint="33"/>
            <w:vAlign w:val="center"/>
          </w:tcPr>
          <w:p w14:paraId="64EA41DB" w14:textId="77777777" w:rsidR="00C1726B" w:rsidRPr="00263D88" w:rsidRDefault="00C1726B" w:rsidP="00C1726B">
            <w:pPr>
              <w:rPr>
                <w:rFonts w:ascii="Times New Roman" w:hAnsi="Times New Roman" w:cs="Times New Roman"/>
                <w:b/>
                <w:bCs/>
                <w:sz w:val="18"/>
                <w:szCs w:val="18"/>
              </w:rPr>
            </w:pPr>
            <w:r w:rsidRPr="00263D88">
              <w:rPr>
                <w:rFonts w:ascii="Times New Roman" w:hAnsi="Times New Roman" w:cs="Times New Roman"/>
                <w:b/>
                <w:bCs/>
                <w:sz w:val="18"/>
                <w:szCs w:val="18"/>
              </w:rPr>
              <w:t xml:space="preserve">E.5.2. </w:t>
            </w:r>
          </w:p>
          <w:p w14:paraId="59FAA868" w14:textId="1FE6662B" w:rsidR="00C1726B" w:rsidRPr="007843E6" w:rsidRDefault="00C1726B" w:rsidP="00C1726B">
            <w:pPr>
              <w:rPr>
                <w:rFonts w:ascii="Times New Roman" w:hAnsi="Times New Roman" w:cs="Times New Roman"/>
                <w:sz w:val="18"/>
                <w:szCs w:val="18"/>
              </w:rPr>
            </w:pPr>
            <w:r w:rsidRPr="007843E6">
              <w:rPr>
                <w:rFonts w:ascii="Times New Roman" w:hAnsi="Times New Roman" w:cs="Times New Roman"/>
                <w:sz w:val="18"/>
                <w:szCs w:val="18"/>
              </w:rPr>
              <w:t>Hesap verme yöntemleri</w:t>
            </w:r>
          </w:p>
        </w:tc>
        <w:tc>
          <w:tcPr>
            <w:tcW w:w="4278" w:type="dxa"/>
            <w:tcBorders>
              <w:bottom w:val="single" w:sz="12" w:space="0" w:color="auto"/>
            </w:tcBorders>
            <w:shd w:val="clear" w:color="auto" w:fill="D5DCE4" w:themeFill="text2" w:themeFillTint="33"/>
            <w:vAlign w:val="center"/>
          </w:tcPr>
          <w:p w14:paraId="001B7F7E" w14:textId="3AC77783" w:rsidR="00C1726B" w:rsidRPr="007843E6" w:rsidRDefault="00C1726B" w:rsidP="00C1726B">
            <w:pPr>
              <w:jc w:val="both"/>
              <w:rPr>
                <w:rFonts w:ascii="Times New Roman" w:hAnsi="Times New Roman" w:cs="Times New Roman"/>
                <w:sz w:val="18"/>
                <w:szCs w:val="18"/>
              </w:rPr>
            </w:pPr>
            <w:r w:rsidRPr="007843E6">
              <w:rPr>
                <w:rFonts w:ascii="Times New Roman" w:hAnsi="Times New Roman" w:cs="Times New Roman"/>
                <w:sz w:val="18"/>
                <w:szCs w:val="18"/>
              </w:rPr>
              <w:t>Kurumun hesap verme faaliyetleri sonucunda elde edilen bulgular izlenmekte, paydaş görüşleri alınmakta ve izlem sonuçları paydaşlarla birlikte değerlendirilerek önlemler alınmaktadır.</w:t>
            </w:r>
          </w:p>
        </w:tc>
        <w:tc>
          <w:tcPr>
            <w:tcW w:w="708" w:type="dxa"/>
            <w:tcBorders>
              <w:bottom w:val="single" w:sz="12" w:space="0" w:color="auto"/>
            </w:tcBorders>
            <w:shd w:val="clear" w:color="auto" w:fill="D5DCE4" w:themeFill="text2" w:themeFillTint="33"/>
            <w:vAlign w:val="center"/>
          </w:tcPr>
          <w:p w14:paraId="39F6B2DB" w14:textId="1140ACD7" w:rsidR="00C1726B" w:rsidRPr="007302E5" w:rsidRDefault="00C1726B" w:rsidP="00C1726B">
            <w:pPr>
              <w:jc w:val="center"/>
              <w:rPr>
                <w:rFonts w:ascii="Times New Roman" w:hAnsi="Times New Roman" w:cs="Times New Roman"/>
                <w:b/>
                <w:bCs/>
                <w:sz w:val="24"/>
                <w:szCs w:val="24"/>
              </w:rPr>
            </w:pPr>
            <w:r w:rsidRPr="007302E5">
              <w:rPr>
                <w:rFonts w:ascii="Times New Roman" w:hAnsi="Times New Roman" w:cs="Times New Roman"/>
                <w:b/>
                <w:bCs/>
                <w:sz w:val="24"/>
                <w:szCs w:val="24"/>
              </w:rPr>
              <w:t>4</w:t>
            </w:r>
          </w:p>
        </w:tc>
        <w:tc>
          <w:tcPr>
            <w:tcW w:w="2268" w:type="dxa"/>
            <w:tcBorders>
              <w:bottom w:val="single" w:sz="12" w:space="0" w:color="auto"/>
            </w:tcBorders>
            <w:shd w:val="clear" w:color="auto" w:fill="ACB9CA" w:themeFill="text2" w:themeFillTint="66"/>
            <w:vAlign w:val="center"/>
          </w:tcPr>
          <w:p w14:paraId="5EC50BA6" w14:textId="77777777" w:rsidR="00C1726B" w:rsidRPr="00B82F82" w:rsidRDefault="00C1726B" w:rsidP="00C1726B">
            <w:pPr>
              <w:jc w:val="both"/>
              <w:rPr>
                <w:rFonts w:ascii="Times New Roman" w:hAnsi="Times New Roman" w:cs="Times New Roman"/>
                <w:sz w:val="20"/>
                <w:szCs w:val="20"/>
              </w:rPr>
            </w:pPr>
          </w:p>
        </w:tc>
        <w:tc>
          <w:tcPr>
            <w:tcW w:w="4961" w:type="dxa"/>
            <w:tcBorders>
              <w:bottom w:val="single" w:sz="12" w:space="0" w:color="auto"/>
            </w:tcBorders>
            <w:shd w:val="clear" w:color="auto" w:fill="ACB9CA" w:themeFill="text2" w:themeFillTint="66"/>
            <w:vAlign w:val="center"/>
          </w:tcPr>
          <w:p w14:paraId="48384A3C" w14:textId="3FC99CAE" w:rsidR="00C1726B" w:rsidRPr="00B82F82" w:rsidRDefault="00E769F3" w:rsidP="00C1726B">
            <w:pPr>
              <w:jc w:val="both"/>
              <w:rPr>
                <w:rFonts w:ascii="Times New Roman" w:hAnsi="Times New Roman" w:cs="Times New Roman"/>
                <w:sz w:val="20"/>
                <w:szCs w:val="20"/>
              </w:rPr>
            </w:pPr>
            <w:r>
              <w:rPr>
                <w:rFonts w:ascii="Times New Roman" w:hAnsi="Times New Roman" w:cs="Times New Roman"/>
                <w:sz w:val="20"/>
                <w:szCs w:val="20"/>
              </w:rPr>
              <w:t>E.5.2. ölçütü yeni kılavuzda E.5.1. ile birleştirilmiştir.</w:t>
            </w:r>
          </w:p>
        </w:tc>
        <w:tc>
          <w:tcPr>
            <w:tcW w:w="709" w:type="dxa"/>
            <w:tcBorders>
              <w:bottom w:val="single" w:sz="12" w:space="0" w:color="auto"/>
              <w:right w:val="single" w:sz="12" w:space="0" w:color="auto"/>
            </w:tcBorders>
            <w:shd w:val="clear" w:color="auto" w:fill="ACB9CA" w:themeFill="text2" w:themeFillTint="66"/>
            <w:vAlign w:val="center"/>
          </w:tcPr>
          <w:p w14:paraId="3284BD62" w14:textId="1423119B" w:rsidR="00C1726B" w:rsidRPr="003E232B" w:rsidRDefault="00C1726B" w:rsidP="00C1726B">
            <w:pPr>
              <w:jc w:val="center"/>
              <w:rPr>
                <w:rFonts w:ascii="Times New Roman" w:hAnsi="Times New Roman" w:cs="Times New Roman"/>
                <w:b/>
                <w:bCs/>
                <w:sz w:val="24"/>
                <w:szCs w:val="24"/>
              </w:rPr>
            </w:pPr>
            <w:r w:rsidRPr="003E232B">
              <w:rPr>
                <w:rFonts w:ascii="Times New Roman" w:hAnsi="Times New Roman" w:cs="Times New Roman"/>
                <w:b/>
                <w:bCs/>
                <w:sz w:val="24"/>
                <w:szCs w:val="24"/>
              </w:rPr>
              <w:t>-</w:t>
            </w:r>
          </w:p>
        </w:tc>
      </w:tr>
    </w:tbl>
    <w:p w14:paraId="226DBDF6" w14:textId="566CB59E" w:rsidR="00AD7A23" w:rsidRDefault="009A2BAD">
      <w:r>
        <w:tab/>
      </w:r>
    </w:p>
    <w:sectPr w:rsidR="00AD7A23" w:rsidSect="00244CCA">
      <w:headerReference w:type="even" r:id="rId7"/>
      <w:headerReference w:type="default" r:id="rId8"/>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BFA0" w14:textId="77777777" w:rsidR="00815116" w:rsidRDefault="00815116" w:rsidP="00DD3EFD">
      <w:pPr>
        <w:spacing w:after="0" w:line="240" w:lineRule="auto"/>
      </w:pPr>
      <w:r>
        <w:separator/>
      </w:r>
    </w:p>
  </w:endnote>
  <w:endnote w:type="continuationSeparator" w:id="0">
    <w:p w14:paraId="67C6D80F" w14:textId="77777777" w:rsidR="00815116" w:rsidRDefault="00815116" w:rsidP="00DD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05431"/>
      <w:docPartObj>
        <w:docPartGallery w:val="Page Numbers (Bottom of Page)"/>
        <w:docPartUnique/>
      </w:docPartObj>
    </w:sdtPr>
    <w:sdtEndPr/>
    <w:sdtContent>
      <w:p w14:paraId="348E09BE" w14:textId="715BD867" w:rsidR="005840BF" w:rsidRDefault="005840BF">
        <w:pPr>
          <w:pStyle w:val="AltBilgi"/>
          <w:jc w:val="center"/>
        </w:pPr>
        <w:r>
          <w:fldChar w:fldCharType="begin"/>
        </w:r>
        <w:r>
          <w:instrText>PAGE   \* MERGEFORMAT</w:instrText>
        </w:r>
        <w:r>
          <w:fldChar w:fldCharType="separate"/>
        </w:r>
        <w:r>
          <w:t>2</w:t>
        </w:r>
        <w:r>
          <w:fldChar w:fldCharType="end"/>
        </w:r>
      </w:p>
    </w:sdtContent>
  </w:sdt>
  <w:p w14:paraId="42567425" w14:textId="77777777" w:rsidR="005840BF" w:rsidRDefault="005840BF" w:rsidP="00DD3EF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A981" w14:textId="77777777" w:rsidR="00815116" w:rsidRDefault="00815116" w:rsidP="00DD3EFD">
      <w:pPr>
        <w:spacing w:after="0" w:line="240" w:lineRule="auto"/>
      </w:pPr>
      <w:r>
        <w:separator/>
      </w:r>
    </w:p>
  </w:footnote>
  <w:footnote w:type="continuationSeparator" w:id="0">
    <w:p w14:paraId="2685AE55" w14:textId="77777777" w:rsidR="00815116" w:rsidRDefault="00815116" w:rsidP="00DD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51D" w14:textId="22436D5A" w:rsidR="005840BF" w:rsidRDefault="00815116">
    <w:pPr>
      <w:pStyle w:val="stBilgi"/>
    </w:pPr>
    <w:r>
      <w:pict w14:anchorId="0FC6E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34579" o:spid="_x0000_s2056" type="#_x0000_t75" style="position:absolute;margin-left:0;margin-top:0;width:453.6pt;height:453.6pt;z-index:-251657216;mso-position-horizontal:center;mso-position-horizontal-relative:margin;mso-position-vertical:center;mso-position-vertical-relative:margin" o:allowincell="f">
          <v:imagedata r:id="rId1" o:title="1200px-EBYU_Am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CBCF" w14:textId="0DB8B0BA" w:rsidR="005840BF" w:rsidRDefault="00815116">
    <w:pPr>
      <w:pStyle w:val="stBilgi"/>
    </w:pPr>
    <w:r>
      <w:pict w14:anchorId="393B6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34580" o:spid="_x0000_s2057" type="#_x0000_t75" style="position:absolute;margin-left:0;margin-top:0;width:453.6pt;height:453.6pt;z-index:-251656192;mso-position-horizontal:center;mso-position-horizontal-relative:margin;mso-position-vertical:center;mso-position-vertical-relative:margin" o:allowincell="f">
          <v:imagedata r:id="rId1" o:title="1200px-EBYU_Am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173C" w14:textId="7A096F08" w:rsidR="005840BF" w:rsidRDefault="005840BF">
    <w:pPr>
      <w:pStyle w:val="stBilgi"/>
    </w:pPr>
    <w:r>
      <w:t>*2020 yılı raporunda Olgunluk Düzeyi ifadelerinde YÖKAK tarafından sadeleştirme yapılmıştır.</w:t>
    </w:r>
    <w:r w:rsidR="00815116">
      <w:pict w14:anchorId="31B90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34578" o:spid="_x0000_s2055" type="#_x0000_t75" style="position:absolute;margin-left:0;margin-top:0;width:453.6pt;height:453.6pt;z-index:-251658240;mso-position-horizontal:center;mso-position-horizontal-relative:margin;mso-position-vertical:center;mso-position-vertical-relative:margin" o:allowincell="f">
          <v:imagedata r:id="rId1" o:title="1200px-EBYU_Am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A6"/>
    <w:rsid w:val="00046F85"/>
    <w:rsid w:val="0006728C"/>
    <w:rsid w:val="00070527"/>
    <w:rsid w:val="00092B16"/>
    <w:rsid w:val="00095073"/>
    <w:rsid w:val="000B209B"/>
    <w:rsid w:val="000D0028"/>
    <w:rsid w:val="000D3527"/>
    <w:rsid w:val="000E524B"/>
    <w:rsid w:val="00127D77"/>
    <w:rsid w:val="00132723"/>
    <w:rsid w:val="00166EB5"/>
    <w:rsid w:val="00176F45"/>
    <w:rsid w:val="00181884"/>
    <w:rsid w:val="00197B2B"/>
    <w:rsid w:val="001C6BA6"/>
    <w:rsid w:val="00235F77"/>
    <w:rsid w:val="00244BD0"/>
    <w:rsid w:val="00244CCA"/>
    <w:rsid w:val="002460EA"/>
    <w:rsid w:val="00263D88"/>
    <w:rsid w:val="00267848"/>
    <w:rsid w:val="002A1F28"/>
    <w:rsid w:val="00304374"/>
    <w:rsid w:val="00320398"/>
    <w:rsid w:val="0032330C"/>
    <w:rsid w:val="003338C5"/>
    <w:rsid w:val="00370648"/>
    <w:rsid w:val="003A7C6A"/>
    <w:rsid w:val="003E232B"/>
    <w:rsid w:val="003F7D24"/>
    <w:rsid w:val="0041211B"/>
    <w:rsid w:val="00427E2C"/>
    <w:rsid w:val="00455624"/>
    <w:rsid w:val="00456A1A"/>
    <w:rsid w:val="00466232"/>
    <w:rsid w:val="004A469D"/>
    <w:rsid w:val="004C24DE"/>
    <w:rsid w:val="004E0212"/>
    <w:rsid w:val="004F5EA3"/>
    <w:rsid w:val="004F624A"/>
    <w:rsid w:val="005248BE"/>
    <w:rsid w:val="00533DC8"/>
    <w:rsid w:val="00582441"/>
    <w:rsid w:val="005840BF"/>
    <w:rsid w:val="005B1434"/>
    <w:rsid w:val="005F1EC7"/>
    <w:rsid w:val="006038DA"/>
    <w:rsid w:val="006428A7"/>
    <w:rsid w:val="00681F57"/>
    <w:rsid w:val="006954EA"/>
    <w:rsid w:val="006A5189"/>
    <w:rsid w:val="006D774F"/>
    <w:rsid w:val="006E08C2"/>
    <w:rsid w:val="00705F8A"/>
    <w:rsid w:val="0072470D"/>
    <w:rsid w:val="007302E5"/>
    <w:rsid w:val="007508D2"/>
    <w:rsid w:val="00764B58"/>
    <w:rsid w:val="007843E6"/>
    <w:rsid w:val="007A103F"/>
    <w:rsid w:val="007A7C08"/>
    <w:rsid w:val="007C248A"/>
    <w:rsid w:val="007E0446"/>
    <w:rsid w:val="00815116"/>
    <w:rsid w:val="008339AF"/>
    <w:rsid w:val="00840724"/>
    <w:rsid w:val="00847D1B"/>
    <w:rsid w:val="008A5995"/>
    <w:rsid w:val="008B5DF8"/>
    <w:rsid w:val="008E07E2"/>
    <w:rsid w:val="00900352"/>
    <w:rsid w:val="00902B43"/>
    <w:rsid w:val="00927122"/>
    <w:rsid w:val="00955574"/>
    <w:rsid w:val="00973ACD"/>
    <w:rsid w:val="00982474"/>
    <w:rsid w:val="00987ECC"/>
    <w:rsid w:val="009A1FC4"/>
    <w:rsid w:val="009A2BAD"/>
    <w:rsid w:val="009A43EF"/>
    <w:rsid w:val="009E5CB4"/>
    <w:rsid w:val="00A605E5"/>
    <w:rsid w:val="00A62811"/>
    <w:rsid w:val="00A922EF"/>
    <w:rsid w:val="00AD7A23"/>
    <w:rsid w:val="00AF651B"/>
    <w:rsid w:val="00B10BBB"/>
    <w:rsid w:val="00B4280B"/>
    <w:rsid w:val="00B44052"/>
    <w:rsid w:val="00B47B7A"/>
    <w:rsid w:val="00B82F82"/>
    <w:rsid w:val="00B845E6"/>
    <w:rsid w:val="00BB5F25"/>
    <w:rsid w:val="00BC07C7"/>
    <w:rsid w:val="00BC0C22"/>
    <w:rsid w:val="00BF6F26"/>
    <w:rsid w:val="00C1726B"/>
    <w:rsid w:val="00C427DE"/>
    <w:rsid w:val="00C4700E"/>
    <w:rsid w:val="00C70740"/>
    <w:rsid w:val="00C9394B"/>
    <w:rsid w:val="00D073C6"/>
    <w:rsid w:val="00D60AC1"/>
    <w:rsid w:val="00DD3EFD"/>
    <w:rsid w:val="00E25D8C"/>
    <w:rsid w:val="00E769F3"/>
    <w:rsid w:val="00EE4E6D"/>
    <w:rsid w:val="00EE599F"/>
    <w:rsid w:val="00F26C6E"/>
    <w:rsid w:val="00F31F62"/>
    <w:rsid w:val="00F340CA"/>
    <w:rsid w:val="00F53513"/>
    <w:rsid w:val="00F53AF5"/>
    <w:rsid w:val="00F67EDC"/>
    <w:rsid w:val="00F97C6F"/>
    <w:rsid w:val="00FB25A2"/>
    <w:rsid w:val="00FE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3929B2"/>
  <w15:chartTrackingRefBased/>
  <w15:docId w15:val="{562C16AD-3D40-40F5-A193-2BF49D2D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D3E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3EFD"/>
    <w:rPr>
      <w:noProof/>
    </w:rPr>
  </w:style>
  <w:style w:type="paragraph" w:styleId="AltBilgi">
    <w:name w:val="footer"/>
    <w:basedOn w:val="Normal"/>
    <w:link w:val="AltBilgiChar"/>
    <w:uiPriority w:val="99"/>
    <w:unhideWhenUsed/>
    <w:rsid w:val="00DD3E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3EF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496B-7986-4021-9557-960F5A6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4507</Words>
  <Characters>25696</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M.Serdar TOKSOY</dc:creator>
  <cp:keywords/>
  <dc:description/>
  <cp:lastModifiedBy>M.Serdar TOKSOY</cp:lastModifiedBy>
  <cp:revision>2</cp:revision>
  <dcterms:created xsi:type="dcterms:W3CDTF">2021-06-30T08:15:00Z</dcterms:created>
  <dcterms:modified xsi:type="dcterms:W3CDTF">2021-06-30T08:15:00Z</dcterms:modified>
</cp:coreProperties>
</file>